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270E" w:rsidRDefault="0055270E" w:rsidP="0055270E">
      <w:pPr>
        <w:rPr>
          <w:rFonts w:ascii="Times New Roman" w:hAnsi="Times New Roman" w:cs="Times New Roman"/>
          <w:color w:val="000000"/>
          <w:sz w:val="32"/>
          <w:szCs w:val="32"/>
          <w:u w:val="single"/>
        </w:rPr>
      </w:pPr>
    </w:p>
    <w:p w:rsidR="0055270E" w:rsidRDefault="0055270E" w:rsidP="0055270E">
      <w:pPr>
        <w:rPr>
          <w:rFonts w:ascii="Times New Roman" w:hAnsi="Times New Roman" w:cs="Times New Roman"/>
          <w:color w:val="000000"/>
          <w:sz w:val="32"/>
          <w:szCs w:val="32"/>
          <w:u w:val="single"/>
        </w:rPr>
      </w:pPr>
    </w:p>
    <w:p w:rsidR="0055270E" w:rsidRDefault="0055270E" w:rsidP="0055270E">
      <w:pPr>
        <w:rPr>
          <w:rFonts w:ascii="Times New Roman" w:hAnsi="Times New Roman" w:cs="Times New Roman"/>
          <w:color w:val="000000"/>
          <w:sz w:val="32"/>
          <w:szCs w:val="32"/>
          <w:u w:val="single"/>
        </w:rPr>
      </w:pPr>
    </w:p>
    <w:p w:rsidR="0055270E" w:rsidRDefault="0055270E" w:rsidP="0055270E">
      <w:pPr>
        <w:rPr>
          <w:rFonts w:ascii="Times New Roman" w:hAnsi="Times New Roman" w:cs="Times New Roman"/>
          <w:color w:val="000000"/>
          <w:sz w:val="32"/>
          <w:szCs w:val="32"/>
          <w:u w:val="single"/>
        </w:rPr>
      </w:pPr>
    </w:p>
    <w:p w:rsidR="0055270E" w:rsidRDefault="0055270E" w:rsidP="0055270E">
      <w:pPr>
        <w:rPr>
          <w:rFonts w:ascii="Times New Roman" w:hAnsi="Times New Roman" w:cs="Times New Roman"/>
          <w:color w:val="000000"/>
          <w:sz w:val="32"/>
          <w:szCs w:val="32"/>
          <w:u w:val="single"/>
        </w:rPr>
      </w:pPr>
    </w:p>
    <w:p w:rsidR="0055270E" w:rsidRDefault="0055270E" w:rsidP="0055270E">
      <w:pPr>
        <w:rPr>
          <w:rFonts w:ascii="Times New Roman" w:hAnsi="Times New Roman" w:cs="Times New Roman"/>
          <w:color w:val="000000"/>
          <w:sz w:val="32"/>
          <w:szCs w:val="32"/>
        </w:rPr>
      </w:pPr>
      <w:r>
        <w:rPr>
          <w:rFonts w:ascii="Times New Roman" w:hAnsi="Times New Roman" w:cs="Times New Roman"/>
          <w:color w:val="000000"/>
          <w:sz w:val="32"/>
          <w:szCs w:val="32"/>
          <w:u w:val="single"/>
        </w:rPr>
        <w:t>Name:</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OBULA</w:t>
      </w:r>
      <w:r w:rsidR="00205001">
        <w:rPr>
          <w:rFonts w:ascii="Times New Roman" w:hAnsi="Times New Roman" w:cs="Times New Roman"/>
          <w:color w:val="000000"/>
          <w:sz w:val="32"/>
          <w:szCs w:val="32"/>
        </w:rPr>
        <w:t xml:space="preserve"> </w:t>
      </w:r>
      <w:r>
        <w:rPr>
          <w:rFonts w:ascii="Times New Roman" w:hAnsi="Times New Roman" w:cs="Times New Roman"/>
          <w:color w:val="000000"/>
          <w:sz w:val="32"/>
          <w:szCs w:val="32"/>
        </w:rPr>
        <w:t>REDDY MADIREDDY</w:t>
      </w:r>
    </w:p>
    <w:p w:rsidR="0055270E" w:rsidRDefault="0055270E" w:rsidP="0055270E">
      <w:pPr>
        <w:rPr>
          <w:rFonts w:ascii="Times New Roman" w:hAnsi="Times New Roman" w:cs="Times New Roman"/>
          <w:color w:val="000000"/>
          <w:sz w:val="32"/>
          <w:szCs w:val="32"/>
        </w:rPr>
      </w:pPr>
      <w:r>
        <w:rPr>
          <w:rFonts w:ascii="Times New Roman" w:hAnsi="Times New Roman" w:cs="Times New Roman"/>
          <w:color w:val="000000"/>
          <w:sz w:val="32"/>
          <w:szCs w:val="32"/>
          <w:u w:val="single"/>
        </w:rPr>
        <w:t>Registration Number:</w:t>
      </w:r>
      <w:r>
        <w:rPr>
          <w:rFonts w:ascii="Times New Roman" w:hAnsi="Times New Roman" w:cs="Times New Roman"/>
          <w:color w:val="000000"/>
          <w:sz w:val="32"/>
          <w:szCs w:val="32"/>
        </w:rPr>
        <w:t xml:space="preserve">   02122013836</w:t>
      </w:r>
    </w:p>
    <w:p w:rsidR="0055270E" w:rsidRDefault="0055270E" w:rsidP="0055270E">
      <w:pPr>
        <w:rPr>
          <w:rFonts w:ascii="Times New Roman" w:hAnsi="Times New Roman" w:cs="Times New Roman"/>
          <w:color w:val="000000"/>
          <w:sz w:val="32"/>
          <w:szCs w:val="32"/>
        </w:rPr>
      </w:pPr>
      <w:r>
        <w:rPr>
          <w:rFonts w:ascii="Times New Roman" w:hAnsi="Times New Roman" w:cs="Times New Roman"/>
          <w:color w:val="000000"/>
          <w:sz w:val="32"/>
          <w:szCs w:val="32"/>
          <w:u w:val="single"/>
        </w:rPr>
        <w:t>E-mail id:</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obulareddy.619@gmail.com</w:t>
      </w:r>
    </w:p>
    <w:p w:rsidR="0055270E" w:rsidRDefault="0055270E" w:rsidP="0055270E">
      <w:pPr>
        <w:rPr>
          <w:rFonts w:ascii="Times New Roman" w:hAnsi="Times New Roman" w:cs="Times New Roman"/>
          <w:color w:val="000000"/>
          <w:sz w:val="32"/>
          <w:szCs w:val="32"/>
        </w:rPr>
      </w:pPr>
      <w:r>
        <w:rPr>
          <w:rFonts w:ascii="Times New Roman" w:hAnsi="Times New Roman" w:cs="Times New Roman"/>
          <w:color w:val="000000"/>
          <w:sz w:val="32"/>
          <w:szCs w:val="32"/>
          <w:u w:val="single"/>
        </w:rPr>
        <w:t>Project:</w:t>
      </w:r>
      <w:r>
        <w:rPr>
          <w:rFonts w:ascii="Times New Roman" w:hAnsi="Times New Roman" w:cs="Times New Roman"/>
          <w:color w:val="000000"/>
          <w:sz w:val="32"/>
          <w:szCs w:val="32"/>
        </w:rPr>
        <w:tab/>
      </w:r>
      <w:r>
        <w:rPr>
          <w:rFonts w:ascii="Times New Roman" w:hAnsi="Times New Roman" w:cs="Times New Roman"/>
          <w:color w:val="000000"/>
          <w:sz w:val="32"/>
          <w:szCs w:val="32"/>
        </w:rPr>
        <w:tab/>
      </w:r>
      <w:r>
        <w:rPr>
          <w:rFonts w:ascii="Times New Roman" w:hAnsi="Times New Roman" w:cs="Times New Roman"/>
          <w:color w:val="000000"/>
          <w:sz w:val="32"/>
          <w:szCs w:val="32"/>
        </w:rPr>
        <w:tab/>
        <w:t xml:space="preserve">  </w:t>
      </w:r>
      <w:r w:rsidR="00115224">
        <w:rPr>
          <w:rFonts w:ascii="Times New Roman" w:hAnsi="Times New Roman" w:cs="Times New Roman"/>
          <w:color w:val="000000"/>
          <w:sz w:val="32"/>
          <w:szCs w:val="32"/>
        </w:rPr>
        <w:t>Tax Management and Practice</w:t>
      </w:r>
      <w:r>
        <w:rPr>
          <w:rFonts w:ascii="Times New Roman" w:hAnsi="Times New Roman" w:cs="Times New Roman"/>
          <w:color w:val="000000"/>
          <w:sz w:val="32"/>
          <w:szCs w:val="32"/>
        </w:rPr>
        <w:t xml:space="preserve"> - Paper 16 </w:t>
      </w:r>
    </w:p>
    <w:p w:rsidR="0055270E" w:rsidRDefault="0055270E" w:rsidP="0055270E">
      <w:pPr>
        <w:pStyle w:val="Heading1"/>
        <w:shd w:val="clear" w:color="auto" w:fill="FFFFFF"/>
        <w:spacing w:before="0" w:beforeAutospacing="0" w:after="0" w:afterAutospacing="0"/>
        <w:jc w:val="center"/>
        <w:rPr>
          <w:b w:val="0"/>
          <w:sz w:val="32"/>
          <w:szCs w:val="32"/>
        </w:rPr>
      </w:pPr>
      <w:r>
        <w:rPr>
          <w:b w:val="0"/>
          <w:sz w:val="32"/>
          <w:szCs w:val="32"/>
        </w:rPr>
        <w:t>(ICMAT Batch III)</w:t>
      </w:r>
    </w:p>
    <w:p w:rsidR="0055270E" w:rsidRDefault="0055270E" w:rsidP="0055270E">
      <w:pPr>
        <w:rPr>
          <w:rFonts w:ascii="Times New Roman" w:hAnsi="Times New Roman" w:cs="Times New Roman"/>
          <w:color w:val="000000"/>
          <w:sz w:val="32"/>
          <w:szCs w:val="32"/>
          <w:u w:val="single"/>
        </w:rPr>
      </w:pPr>
    </w:p>
    <w:p w:rsidR="0055270E" w:rsidRDefault="0055270E" w:rsidP="0055270E">
      <w:pPr>
        <w:rPr>
          <w:rFonts w:ascii="Times New Roman" w:hAnsi="Times New Roman" w:cs="Times New Roman"/>
          <w:color w:val="000000"/>
          <w:sz w:val="32"/>
          <w:szCs w:val="32"/>
          <w:u w:val="single"/>
        </w:rPr>
      </w:pPr>
    </w:p>
    <w:p w:rsidR="0055270E" w:rsidRPr="00263BE2" w:rsidRDefault="0055270E" w:rsidP="0055270E">
      <w:pPr>
        <w:rPr>
          <w:rFonts w:ascii="Times New Roman" w:hAnsi="Times New Roman" w:cs="Times New Roman"/>
          <w:sz w:val="32"/>
          <w:szCs w:val="32"/>
        </w:rPr>
      </w:pPr>
    </w:p>
    <w:p w:rsidR="0055270E" w:rsidRDefault="0055270E" w:rsidP="0055270E">
      <w:pPr>
        <w:autoSpaceDE w:val="0"/>
        <w:autoSpaceDN w:val="0"/>
        <w:adjustRightInd w:val="0"/>
        <w:spacing w:after="0" w:line="240" w:lineRule="auto"/>
        <w:jc w:val="both"/>
        <w:rPr>
          <w:rFonts w:ascii="Times New Roman" w:hAnsi="Times New Roman" w:cs="Times New Roman"/>
          <w:color w:val="000000"/>
          <w:sz w:val="28"/>
          <w:szCs w:val="28"/>
        </w:rPr>
      </w:pPr>
    </w:p>
    <w:p w:rsidR="0055270E" w:rsidRDefault="0055270E" w:rsidP="0055270E">
      <w:pPr>
        <w:rPr>
          <w:rFonts w:ascii="Times New Roman" w:hAnsi="Times New Roman" w:cs="Times New Roman"/>
          <w:color w:val="000000"/>
          <w:sz w:val="28"/>
          <w:szCs w:val="28"/>
        </w:rPr>
      </w:pPr>
    </w:p>
    <w:p w:rsidR="0055270E" w:rsidRDefault="0055270E" w:rsidP="0055270E">
      <w:pPr>
        <w:rPr>
          <w:rFonts w:ascii="Times New Roman" w:hAnsi="Times New Roman" w:cs="Times New Roman"/>
          <w:color w:val="000000"/>
          <w:sz w:val="28"/>
          <w:szCs w:val="28"/>
        </w:rPr>
      </w:pPr>
    </w:p>
    <w:p w:rsidR="0055270E" w:rsidRDefault="0055270E" w:rsidP="0055270E">
      <w:pPr>
        <w:rPr>
          <w:rFonts w:ascii="Times New Roman" w:hAnsi="Times New Roman" w:cs="Times New Roman"/>
          <w:color w:val="000000"/>
          <w:sz w:val="28"/>
          <w:szCs w:val="28"/>
        </w:rPr>
      </w:pPr>
    </w:p>
    <w:p w:rsidR="0055270E" w:rsidRDefault="0055270E" w:rsidP="0055270E">
      <w:pPr>
        <w:rPr>
          <w:rFonts w:ascii="Times New Roman" w:hAnsi="Times New Roman" w:cs="Times New Roman"/>
          <w:color w:val="000000"/>
          <w:sz w:val="28"/>
          <w:szCs w:val="28"/>
        </w:rPr>
      </w:pPr>
    </w:p>
    <w:p w:rsidR="0055270E" w:rsidRDefault="0055270E" w:rsidP="0055270E">
      <w:pPr>
        <w:rPr>
          <w:rFonts w:ascii="Times New Roman" w:hAnsi="Times New Roman" w:cs="Times New Roman"/>
          <w:color w:val="000000"/>
          <w:sz w:val="28"/>
          <w:szCs w:val="28"/>
        </w:rPr>
      </w:pPr>
    </w:p>
    <w:p w:rsidR="0055270E" w:rsidRDefault="0055270E" w:rsidP="0055270E">
      <w:pPr>
        <w:rPr>
          <w:rFonts w:ascii="Times New Roman" w:hAnsi="Times New Roman" w:cs="Times New Roman"/>
          <w:color w:val="000000"/>
          <w:sz w:val="28"/>
          <w:szCs w:val="28"/>
        </w:rPr>
      </w:pPr>
    </w:p>
    <w:p w:rsidR="0055270E" w:rsidRDefault="0055270E" w:rsidP="0055270E">
      <w:pPr>
        <w:rPr>
          <w:rFonts w:ascii="Times New Roman" w:hAnsi="Times New Roman" w:cs="Times New Roman"/>
          <w:color w:val="000000"/>
          <w:sz w:val="28"/>
          <w:szCs w:val="28"/>
        </w:rPr>
      </w:pPr>
    </w:p>
    <w:p w:rsidR="0055270E" w:rsidRDefault="0055270E" w:rsidP="0055270E">
      <w:pPr>
        <w:rPr>
          <w:rFonts w:ascii="Times New Roman" w:hAnsi="Times New Roman" w:cs="Times New Roman"/>
          <w:color w:val="000000"/>
          <w:sz w:val="28"/>
          <w:szCs w:val="28"/>
        </w:rPr>
      </w:pPr>
    </w:p>
    <w:p w:rsidR="007C47C0" w:rsidRPr="00DD65CA" w:rsidRDefault="007C47C0" w:rsidP="007C47C0">
      <w:pPr>
        <w:autoSpaceDE w:val="0"/>
        <w:autoSpaceDN w:val="0"/>
        <w:adjustRightInd w:val="0"/>
        <w:spacing w:after="0" w:line="240" w:lineRule="auto"/>
        <w:rPr>
          <w:rFonts w:ascii="TTFF4A0518t00" w:hAnsi="TTFF4A0518t00" w:cs="TTFF4A0518t00"/>
          <w:b/>
          <w:i/>
          <w:color w:val="00B050"/>
          <w:sz w:val="24"/>
          <w:szCs w:val="24"/>
          <w:u w:val="single"/>
        </w:rPr>
      </w:pPr>
      <w:r w:rsidRPr="00DD65CA">
        <w:rPr>
          <w:rFonts w:ascii="TTFF4A0518t00" w:hAnsi="TTFF4A0518t00" w:cs="TTFF4A0518t00"/>
          <w:b/>
          <w:i/>
          <w:color w:val="00B050"/>
          <w:sz w:val="24"/>
          <w:szCs w:val="24"/>
          <w:u w:val="single"/>
        </w:rPr>
        <w:lastRenderedPageBreak/>
        <w:t>Case Study 1</w:t>
      </w:r>
      <w:r w:rsidR="00DD65CA">
        <w:rPr>
          <w:rFonts w:ascii="TTFF4A0518t00" w:hAnsi="TTFF4A0518t00" w:cs="TTFF4A0518t00"/>
          <w:b/>
          <w:i/>
          <w:color w:val="00B050"/>
          <w:sz w:val="24"/>
          <w:szCs w:val="24"/>
          <w:u w:val="single"/>
        </w:rPr>
        <w:t>:-</w:t>
      </w:r>
    </w:p>
    <w:p w:rsidR="007579D9" w:rsidRPr="007C47C0" w:rsidRDefault="007579D9" w:rsidP="007C47C0">
      <w:pPr>
        <w:autoSpaceDE w:val="0"/>
        <w:autoSpaceDN w:val="0"/>
        <w:adjustRightInd w:val="0"/>
        <w:spacing w:after="0" w:line="240" w:lineRule="auto"/>
        <w:rPr>
          <w:rFonts w:ascii="TTFF4A0518t00" w:hAnsi="TTFF4A0518t00" w:cs="TTFF4A0518t00"/>
          <w:color w:val="FF0000"/>
          <w:sz w:val="24"/>
          <w:szCs w:val="24"/>
        </w:rPr>
      </w:pP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Dhanraj&amp; Co. furnish the following expenditure incurred by them and want you to find theassessable value for the purpose of paying excise duty on captive consumption. Determine thecost of production in terms of rule 8 of the Central Excise Valuation (Determination of Price ofExcisable Goods) Rules, 2000 and as per CAS-4 (cost </w:t>
      </w:r>
      <w:bookmarkStart w:id="0" w:name="_GoBack"/>
      <w:bookmarkEnd w:id="0"/>
      <w:r w:rsidRPr="007C47C0">
        <w:rPr>
          <w:rFonts w:ascii="TTFF4A0518t00" w:hAnsi="TTFF4A0518t00" w:cs="TTFF4A0518t00"/>
          <w:color w:val="000000"/>
          <w:sz w:val="24"/>
          <w:szCs w:val="24"/>
        </w:rPr>
        <w:t>accounting standard)</w:t>
      </w: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(i) Direct material cost per unit inclusive of excise duty at 20% - </w:t>
      </w:r>
      <w:r w:rsidRPr="007C47C0">
        <w:rPr>
          <w:rFonts w:ascii="TTFF554D28t00" w:hAnsi="TTFF554D28t00" w:cs="TTFF554D28t00"/>
          <w:color w:val="000000"/>
          <w:sz w:val="24"/>
          <w:szCs w:val="24"/>
        </w:rPr>
        <w:t xml:space="preserve">` </w:t>
      </w:r>
      <w:r w:rsidRPr="007C47C0">
        <w:rPr>
          <w:rFonts w:ascii="TTFF4A0518t00" w:hAnsi="TTFF4A0518t00" w:cs="TTFF4A0518t00"/>
          <w:color w:val="000000"/>
          <w:sz w:val="24"/>
          <w:szCs w:val="24"/>
        </w:rPr>
        <w:t>2,400</w:t>
      </w: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(ii) Direct wages - </w:t>
      </w:r>
      <w:r w:rsidRPr="007C47C0">
        <w:rPr>
          <w:rFonts w:ascii="TTFF554D28t00" w:hAnsi="TTFF554D28t00" w:cs="TTFF554D28t00"/>
          <w:color w:val="000000"/>
          <w:sz w:val="24"/>
          <w:szCs w:val="24"/>
        </w:rPr>
        <w:t xml:space="preserve">` </w:t>
      </w:r>
      <w:r w:rsidRPr="007C47C0">
        <w:rPr>
          <w:rFonts w:ascii="TTFF4A0518t00" w:hAnsi="TTFF4A0518t00" w:cs="TTFF4A0518t00"/>
          <w:color w:val="000000"/>
          <w:sz w:val="24"/>
          <w:szCs w:val="24"/>
        </w:rPr>
        <w:t>500</w:t>
      </w: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(iii) Other direct expenses - </w:t>
      </w:r>
      <w:r w:rsidRPr="007C47C0">
        <w:rPr>
          <w:rFonts w:ascii="TTFF554D28t00" w:hAnsi="TTFF554D28t00" w:cs="TTFF554D28t00"/>
          <w:color w:val="000000"/>
          <w:sz w:val="24"/>
          <w:szCs w:val="24"/>
        </w:rPr>
        <w:t xml:space="preserve">` </w:t>
      </w:r>
      <w:r w:rsidRPr="007C47C0">
        <w:rPr>
          <w:rFonts w:ascii="TTFF4A0518t00" w:hAnsi="TTFF4A0518t00" w:cs="TTFF4A0518t00"/>
          <w:color w:val="000000"/>
          <w:sz w:val="24"/>
          <w:szCs w:val="24"/>
        </w:rPr>
        <w:t>200</w:t>
      </w: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(iv) Indirect materials - </w:t>
      </w:r>
      <w:r w:rsidRPr="007C47C0">
        <w:rPr>
          <w:rFonts w:ascii="TTFF554D28t00" w:hAnsi="TTFF554D28t00" w:cs="TTFF554D28t00"/>
          <w:color w:val="000000"/>
          <w:sz w:val="24"/>
          <w:szCs w:val="24"/>
        </w:rPr>
        <w:t xml:space="preserve">` </w:t>
      </w:r>
      <w:r w:rsidRPr="007C47C0">
        <w:rPr>
          <w:rFonts w:ascii="TTFF4A0518t00" w:hAnsi="TTFF4A0518t00" w:cs="TTFF4A0518t00"/>
          <w:color w:val="000000"/>
          <w:sz w:val="24"/>
          <w:szCs w:val="24"/>
        </w:rPr>
        <w:t>150</w:t>
      </w: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(v) Factory Overheads - </w:t>
      </w:r>
      <w:r w:rsidRPr="007C47C0">
        <w:rPr>
          <w:rFonts w:ascii="TTFF554D28t00" w:hAnsi="TTFF554D28t00" w:cs="TTFF554D28t00"/>
          <w:color w:val="000000"/>
          <w:sz w:val="24"/>
          <w:szCs w:val="24"/>
        </w:rPr>
        <w:t xml:space="preserve">` </w:t>
      </w:r>
      <w:r w:rsidRPr="007C47C0">
        <w:rPr>
          <w:rFonts w:ascii="TTFF4A0518t00" w:hAnsi="TTFF4A0518t00" w:cs="TTFF4A0518t00"/>
          <w:color w:val="000000"/>
          <w:sz w:val="24"/>
          <w:szCs w:val="24"/>
        </w:rPr>
        <w:t>300</w:t>
      </w: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(vi) Administrative overhead (25% relating to production capacity) </w:t>
      </w:r>
      <w:r w:rsidRPr="007C47C0">
        <w:rPr>
          <w:rFonts w:ascii="TTFF554D28t00" w:hAnsi="TTFF554D28t00" w:cs="TTFF554D28t00"/>
          <w:color w:val="000000"/>
          <w:sz w:val="24"/>
          <w:szCs w:val="24"/>
        </w:rPr>
        <w:t xml:space="preserve">` </w:t>
      </w:r>
      <w:r w:rsidRPr="007C47C0">
        <w:rPr>
          <w:rFonts w:ascii="TTFF4A0518t00" w:hAnsi="TTFF4A0518t00" w:cs="TTFF4A0518t00"/>
          <w:color w:val="000000"/>
          <w:sz w:val="24"/>
          <w:szCs w:val="24"/>
        </w:rPr>
        <w:t>200</w:t>
      </w: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(vii) Selling and distribution expenses - </w:t>
      </w:r>
      <w:r w:rsidRPr="007C47C0">
        <w:rPr>
          <w:rFonts w:ascii="TTFF554D28t00" w:hAnsi="TTFF554D28t00" w:cs="TTFF554D28t00"/>
          <w:color w:val="000000"/>
          <w:sz w:val="24"/>
          <w:szCs w:val="24"/>
        </w:rPr>
        <w:t xml:space="preserve">` </w:t>
      </w:r>
      <w:r w:rsidRPr="007C47C0">
        <w:rPr>
          <w:rFonts w:ascii="TTFF4A0518t00" w:hAnsi="TTFF4A0518t00" w:cs="TTFF4A0518t00"/>
          <w:color w:val="000000"/>
          <w:sz w:val="24"/>
          <w:szCs w:val="24"/>
        </w:rPr>
        <w:t>200</w:t>
      </w: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(viii) Quality Control - </w:t>
      </w:r>
      <w:r w:rsidRPr="007C47C0">
        <w:rPr>
          <w:rFonts w:ascii="TTFF554D28t00" w:hAnsi="TTFF554D28t00" w:cs="TTFF554D28t00"/>
          <w:color w:val="000000"/>
          <w:sz w:val="24"/>
          <w:szCs w:val="24"/>
        </w:rPr>
        <w:t xml:space="preserve">` </w:t>
      </w:r>
      <w:r w:rsidRPr="007C47C0">
        <w:rPr>
          <w:rFonts w:ascii="TTFF4A0518t00" w:hAnsi="TTFF4A0518t00" w:cs="TTFF4A0518t00"/>
          <w:color w:val="000000"/>
          <w:sz w:val="24"/>
          <w:szCs w:val="24"/>
        </w:rPr>
        <w:t>50</w:t>
      </w: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(ix) Sale of scrap realized - </w:t>
      </w:r>
      <w:r w:rsidRPr="007C47C0">
        <w:rPr>
          <w:rFonts w:ascii="TTFF554D28t00" w:hAnsi="TTFF554D28t00" w:cs="TTFF554D28t00"/>
          <w:color w:val="000000"/>
          <w:sz w:val="24"/>
          <w:szCs w:val="24"/>
        </w:rPr>
        <w:t>`</w:t>
      </w:r>
      <w:r w:rsidRPr="007C47C0">
        <w:rPr>
          <w:rFonts w:ascii="TTFF4A0518t00" w:hAnsi="TTFF4A0518t00" w:cs="TTFF4A0518t00"/>
          <w:color w:val="000000"/>
          <w:sz w:val="24"/>
          <w:szCs w:val="24"/>
        </w:rPr>
        <w:t>40</w:t>
      </w:r>
    </w:p>
    <w:p w:rsidR="007C47C0" w:rsidRPr="007C47C0" w:rsidRDefault="007C47C0" w:rsidP="007C47C0">
      <w:pPr>
        <w:pStyle w:val="Pa73"/>
        <w:spacing w:after="100"/>
        <w:jc w:val="both"/>
        <w:rPr>
          <w:rFonts w:cs="Century Gothic"/>
          <w:b/>
          <w:bCs/>
          <w:color w:val="000000"/>
        </w:rPr>
      </w:pPr>
      <w:r w:rsidRPr="007C47C0">
        <w:rPr>
          <w:rFonts w:ascii="TTFF4A0518t00" w:hAnsi="TTFF4A0518t00" w:cs="TTFF4A0518t00"/>
          <w:color w:val="000000"/>
        </w:rPr>
        <w:t>(x) Actual profit margin - 20%.</w:t>
      </w:r>
    </w:p>
    <w:p w:rsidR="00F43C36" w:rsidRDefault="00F43C36" w:rsidP="00490550">
      <w:pPr>
        <w:autoSpaceDE w:val="0"/>
        <w:autoSpaceDN w:val="0"/>
        <w:adjustRightInd w:val="0"/>
        <w:spacing w:after="100" w:line="201" w:lineRule="atLeast"/>
        <w:jc w:val="both"/>
        <w:rPr>
          <w:rFonts w:ascii="Century Gothic" w:hAnsi="Century Gothic" w:cs="Century Gothic"/>
          <w:b/>
          <w:bCs/>
          <w:i/>
          <w:color w:val="00B050"/>
          <w:u w:val="single"/>
        </w:rPr>
      </w:pPr>
    </w:p>
    <w:p w:rsidR="00490550" w:rsidRPr="00AF49B5" w:rsidRDefault="00490550" w:rsidP="00490550">
      <w:pPr>
        <w:autoSpaceDE w:val="0"/>
        <w:autoSpaceDN w:val="0"/>
        <w:adjustRightInd w:val="0"/>
        <w:spacing w:after="100" w:line="201" w:lineRule="atLeast"/>
        <w:jc w:val="both"/>
        <w:rPr>
          <w:rFonts w:ascii="Century Gothic" w:hAnsi="Century Gothic" w:cs="Century Gothic"/>
          <w:i/>
          <w:color w:val="00B050"/>
          <w:u w:val="single"/>
        </w:rPr>
      </w:pPr>
      <w:r w:rsidRPr="00AF49B5">
        <w:rPr>
          <w:rFonts w:ascii="Century Gothic" w:hAnsi="Century Gothic" w:cs="Century Gothic"/>
          <w:b/>
          <w:bCs/>
          <w:i/>
          <w:color w:val="00B050"/>
          <w:u w:val="single"/>
        </w:rPr>
        <w:t>Answer:</w:t>
      </w:r>
      <w:r w:rsidR="00AF49B5">
        <w:rPr>
          <w:rFonts w:ascii="Century Gothic" w:hAnsi="Century Gothic" w:cs="Century Gothic"/>
          <w:b/>
          <w:bCs/>
          <w:i/>
          <w:color w:val="00B050"/>
          <w:u w:val="single"/>
        </w:rPr>
        <w:t>-</w:t>
      </w:r>
      <w:r w:rsidRPr="00AF49B5">
        <w:rPr>
          <w:rFonts w:ascii="Century Gothic" w:hAnsi="Century Gothic" w:cs="Century Gothic"/>
          <w:b/>
          <w:bCs/>
          <w:i/>
          <w:color w:val="00B050"/>
          <w:u w:val="single"/>
        </w:rPr>
        <w:t xml:space="preserve"> </w:t>
      </w:r>
    </w:p>
    <w:tbl>
      <w:tblPr>
        <w:tblStyle w:val="TableGrid"/>
        <w:tblW w:w="0" w:type="auto"/>
        <w:tblLayout w:type="fixed"/>
        <w:tblLook w:val="04A0"/>
      </w:tblPr>
      <w:tblGrid>
        <w:gridCol w:w="6240"/>
        <w:gridCol w:w="3118"/>
      </w:tblGrid>
      <w:tr w:rsidR="00490550" w:rsidRPr="00490550" w:rsidTr="002A59AD">
        <w:trPr>
          <w:trHeight w:val="142"/>
        </w:trPr>
        <w:tc>
          <w:tcPr>
            <w:tcW w:w="9354" w:type="dxa"/>
            <w:gridSpan w:val="2"/>
          </w:tcPr>
          <w:p w:rsidR="00490550" w:rsidRPr="00490550" w:rsidRDefault="00490550" w:rsidP="00490550">
            <w:pPr>
              <w:autoSpaceDE w:val="0"/>
              <w:autoSpaceDN w:val="0"/>
              <w:adjustRightInd w:val="0"/>
              <w:spacing w:after="100" w:line="201" w:lineRule="atLeast"/>
              <w:jc w:val="both"/>
              <w:rPr>
                <w:rFonts w:ascii="Century Gothic" w:hAnsi="Century Gothic" w:cs="Century Gothic"/>
                <w:color w:val="000000"/>
                <w:sz w:val="24"/>
                <w:szCs w:val="24"/>
              </w:rPr>
            </w:pPr>
            <w:r w:rsidRPr="00490550">
              <w:rPr>
                <w:rFonts w:ascii="Century Gothic" w:hAnsi="Century Gothic" w:cs="Century Gothic"/>
                <w:b/>
                <w:bCs/>
                <w:color w:val="000000"/>
                <w:sz w:val="24"/>
                <w:szCs w:val="24"/>
              </w:rPr>
              <w:t xml:space="preserve">Particulars </w:t>
            </w:r>
          </w:p>
          <w:p w:rsidR="00490550" w:rsidRPr="00490550" w:rsidRDefault="00490550" w:rsidP="00490550">
            <w:pPr>
              <w:autoSpaceDE w:val="0"/>
              <w:autoSpaceDN w:val="0"/>
              <w:adjustRightInd w:val="0"/>
              <w:spacing w:after="100" w:line="201" w:lineRule="atLeast"/>
              <w:jc w:val="right"/>
              <w:rPr>
                <w:rFonts w:ascii="Rupee" w:hAnsi="Rupee" w:cs="Rupee"/>
                <w:color w:val="000000"/>
                <w:sz w:val="24"/>
                <w:szCs w:val="24"/>
              </w:rPr>
            </w:pPr>
            <w:r w:rsidRPr="00490550">
              <w:rPr>
                <w:rFonts w:ascii="Century Gothic" w:hAnsi="Century Gothic" w:cs="Century Gothic"/>
                <w:b/>
                <w:bCs/>
                <w:color w:val="000000"/>
                <w:sz w:val="24"/>
                <w:szCs w:val="24"/>
              </w:rPr>
              <w:t>Amount (</w:t>
            </w:r>
            <w:r w:rsidRPr="00490550">
              <w:rPr>
                <w:rFonts w:ascii="Rupee" w:hAnsi="Rupee" w:cs="Rupee"/>
                <w:color w:val="000000"/>
                <w:sz w:val="24"/>
                <w:szCs w:val="24"/>
              </w:rPr>
              <w:t xml:space="preserve">`) </w:t>
            </w:r>
          </w:p>
        </w:tc>
      </w:tr>
      <w:tr w:rsidR="00490550" w:rsidRPr="00490550" w:rsidTr="00152B66">
        <w:trPr>
          <w:trHeight w:val="136"/>
        </w:trPr>
        <w:tc>
          <w:tcPr>
            <w:tcW w:w="6236" w:type="dxa"/>
          </w:tcPr>
          <w:p w:rsidR="00490550" w:rsidRPr="00490550" w:rsidRDefault="00490550" w:rsidP="00490550">
            <w:pPr>
              <w:autoSpaceDE w:val="0"/>
              <w:autoSpaceDN w:val="0"/>
              <w:adjustRightInd w:val="0"/>
              <w:spacing w:after="10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(i) Direct Material (</w:t>
            </w:r>
            <w:r>
              <w:rPr>
                <w:rFonts w:ascii="Century Gothic" w:hAnsi="Century Gothic" w:cs="Century Gothic"/>
                <w:color w:val="000000"/>
                <w:sz w:val="24"/>
                <w:szCs w:val="24"/>
              </w:rPr>
              <w:t>exclusive of Excise Duty) [2,400 x 100/120.00</w:t>
            </w:r>
            <w:r w:rsidRPr="00490550">
              <w:rPr>
                <w:rFonts w:ascii="Century Gothic" w:hAnsi="Century Gothic" w:cs="Century Gothic"/>
                <w:color w:val="000000"/>
                <w:sz w:val="24"/>
                <w:szCs w:val="24"/>
              </w:rPr>
              <w:t xml:space="preserve">] </w:t>
            </w:r>
          </w:p>
        </w:tc>
        <w:tc>
          <w:tcPr>
            <w:tcW w:w="3118" w:type="dxa"/>
          </w:tcPr>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2000.00</w:t>
            </w:r>
          </w:p>
        </w:tc>
      </w:tr>
      <w:tr w:rsidR="00490550" w:rsidRPr="00490550" w:rsidTr="00976FB9">
        <w:trPr>
          <w:trHeight w:val="136"/>
        </w:trPr>
        <w:tc>
          <w:tcPr>
            <w:tcW w:w="6236" w:type="dxa"/>
          </w:tcPr>
          <w:p w:rsidR="00490550" w:rsidRPr="00490550" w:rsidRDefault="00490550" w:rsidP="00490550">
            <w:pPr>
              <w:autoSpaceDE w:val="0"/>
              <w:autoSpaceDN w:val="0"/>
              <w:adjustRightInd w:val="0"/>
              <w:spacing w:after="10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 xml:space="preserve">(ii) Direct </w:t>
            </w:r>
            <w:r w:rsidR="003D7DA0">
              <w:rPr>
                <w:rFonts w:ascii="Century Gothic" w:hAnsi="Century Gothic" w:cs="Century Gothic"/>
                <w:color w:val="000000"/>
                <w:sz w:val="24"/>
                <w:szCs w:val="24"/>
              </w:rPr>
              <w:t>Lab</w:t>
            </w:r>
            <w:r w:rsidR="003D7DA0" w:rsidRPr="00490550">
              <w:rPr>
                <w:rFonts w:ascii="Century Gothic" w:hAnsi="Century Gothic" w:cs="Century Gothic"/>
                <w:color w:val="000000"/>
                <w:sz w:val="24"/>
                <w:szCs w:val="24"/>
              </w:rPr>
              <w:t>our</w:t>
            </w:r>
          </w:p>
        </w:tc>
        <w:tc>
          <w:tcPr>
            <w:tcW w:w="3118" w:type="dxa"/>
          </w:tcPr>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500</w:t>
            </w:r>
            <w:r w:rsidRPr="00490550">
              <w:rPr>
                <w:rFonts w:ascii="Century Gothic" w:hAnsi="Century Gothic" w:cs="Century Gothic"/>
                <w:color w:val="000000"/>
                <w:sz w:val="24"/>
                <w:szCs w:val="24"/>
              </w:rPr>
              <w:t xml:space="preserve">.00 </w:t>
            </w:r>
          </w:p>
        </w:tc>
      </w:tr>
      <w:tr w:rsidR="00490550" w:rsidRPr="00490550" w:rsidTr="00F1709B">
        <w:trPr>
          <w:trHeight w:val="136"/>
        </w:trPr>
        <w:tc>
          <w:tcPr>
            <w:tcW w:w="6236" w:type="dxa"/>
          </w:tcPr>
          <w:p w:rsidR="00490550" w:rsidRPr="00490550" w:rsidRDefault="00490550" w:rsidP="00490550">
            <w:pPr>
              <w:autoSpaceDE w:val="0"/>
              <w:autoSpaceDN w:val="0"/>
              <w:adjustRightInd w:val="0"/>
              <w:spacing w:after="10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 xml:space="preserve">(iii) Direct Expenses </w:t>
            </w:r>
          </w:p>
        </w:tc>
        <w:tc>
          <w:tcPr>
            <w:tcW w:w="3118" w:type="dxa"/>
          </w:tcPr>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200</w:t>
            </w:r>
            <w:r w:rsidRPr="00490550">
              <w:rPr>
                <w:rFonts w:ascii="Century Gothic" w:hAnsi="Century Gothic" w:cs="Century Gothic"/>
                <w:color w:val="000000"/>
                <w:sz w:val="24"/>
                <w:szCs w:val="24"/>
              </w:rPr>
              <w:t xml:space="preserve">.00 </w:t>
            </w:r>
          </w:p>
        </w:tc>
      </w:tr>
      <w:tr w:rsidR="00490550" w:rsidRPr="00490550" w:rsidTr="00876538">
        <w:trPr>
          <w:trHeight w:val="136"/>
        </w:trPr>
        <w:tc>
          <w:tcPr>
            <w:tcW w:w="6236" w:type="dxa"/>
          </w:tcPr>
          <w:p w:rsidR="00490550" w:rsidRPr="00490550" w:rsidRDefault="00490550" w:rsidP="00490550">
            <w:pPr>
              <w:autoSpaceDE w:val="0"/>
              <w:autoSpaceDN w:val="0"/>
              <w:adjustRightInd w:val="0"/>
              <w:spacing w:after="10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(iv) Works</w:t>
            </w:r>
            <w:r>
              <w:rPr>
                <w:rFonts w:ascii="Century Gothic" w:hAnsi="Century Gothic" w:cs="Century Gothic"/>
                <w:color w:val="000000"/>
                <w:sz w:val="24"/>
                <w:szCs w:val="24"/>
              </w:rPr>
              <w:t xml:space="preserve"> Overhead [indirect material (150) plus Factory OHs (300</w:t>
            </w:r>
            <w:r w:rsidRPr="00490550">
              <w:rPr>
                <w:rFonts w:ascii="Century Gothic" w:hAnsi="Century Gothic" w:cs="Century Gothic"/>
                <w:color w:val="000000"/>
                <w:sz w:val="24"/>
                <w:szCs w:val="24"/>
              </w:rPr>
              <w:t xml:space="preserve">)] </w:t>
            </w:r>
          </w:p>
        </w:tc>
        <w:tc>
          <w:tcPr>
            <w:tcW w:w="3118" w:type="dxa"/>
          </w:tcPr>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450</w:t>
            </w:r>
            <w:r w:rsidRPr="00490550">
              <w:rPr>
                <w:rFonts w:ascii="Century Gothic" w:hAnsi="Century Gothic" w:cs="Century Gothic"/>
                <w:color w:val="000000"/>
                <w:sz w:val="24"/>
                <w:szCs w:val="24"/>
              </w:rPr>
              <w:t xml:space="preserve">.00 </w:t>
            </w:r>
          </w:p>
        </w:tc>
      </w:tr>
      <w:tr w:rsidR="00490550" w:rsidRPr="00490550" w:rsidTr="00660FC0">
        <w:trPr>
          <w:trHeight w:val="136"/>
        </w:trPr>
        <w:tc>
          <w:tcPr>
            <w:tcW w:w="6236" w:type="dxa"/>
          </w:tcPr>
          <w:p w:rsidR="00490550" w:rsidRPr="00490550" w:rsidRDefault="00490550" w:rsidP="00490550">
            <w:pPr>
              <w:autoSpaceDE w:val="0"/>
              <w:autoSpaceDN w:val="0"/>
              <w:adjustRightInd w:val="0"/>
              <w:spacing w:after="10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 xml:space="preserve">(v) Quality Control Cost </w:t>
            </w:r>
          </w:p>
        </w:tc>
        <w:tc>
          <w:tcPr>
            <w:tcW w:w="3118" w:type="dxa"/>
          </w:tcPr>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50</w:t>
            </w:r>
            <w:r w:rsidRPr="00490550">
              <w:rPr>
                <w:rFonts w:ascii="Century Gothic" w:hAnsi="Century Gothic" w:cs="Century Gothic"/>
                <w:color w:val="000000"/>
                <w:sz w:val="24"/>
                <w:szCs w:val="24"/>
              </w:rPr>
              <w:t xml:space="preserve">.00 </w:t>
            </w:r>
          </w:p>
        </w:tc>
      </w:tr>
      <w:tr w:rsidR="00490550" w:rsidRPr="00490550" w:rsidTr="004A2043">
        <w:trPr>
          <w:trHeight w:val="136"/>
        </w:trPr>
        <w:tc>
          <w:tcPr>
            <w:tcW w:w="6236" w:type="dxa"/>
          </w:tcPr>
          <w:p w:rsidR="00490550" w:rsidRPr="00490550" w:rsidRDefault="00490550" w:rsidP="00490550">
            <w:pPr>
              <w:autoSpaceDE w:val="0"/>
              <w:autoSpaceDN w:val="0"/>
              <w:adjustRightInd w:val="0"/>
              <w:spacing w:after="10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 xml:space="preserve">(vi) Research &amp; Development Cost </w:t>
            </w:r>
          </w:p>
        </w:tc>
        <w:tc>
          <w:tcPr>
            <w:tcW w:w="3118" w:type="dxa"/>
          </w:tcPr>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r w:rsidRPr="00490550">
              <w:rPr>
                <w:rFonts w:ascii="Century Gothic" w:hAnsi="Century Gothic" w:cs="Century Gothic"/>
                <w:color w:val="000000"/>
                <w:sz w:val="24"/>
                <w:szCs w:val="24"/>
              </w:rPr>
              <w:t xml:space="preserve">Nil </w:t>
            </w:r>
          </w:p>
        </w:tc>
      </w:tr>
      <w:tr w:rsidR="00490550" w:rsidRPr="00490550" w:rsidTr="006C6509">
        <w:trPr>
          <w:trHeight w:val="136"/>
        </w:trPr>
        <w:tc>
          <w:tcPr>
            <w:tcW w:w="6236" w:type="dxa"/>
          </w:tcPr>
          <w:p w:rsidR="00490550" w:rsidRPr="00490550" w:rsidRDefault="00490550" w:rsidP="00490550">
            <w:pPr>
              <w:autoSpaceDE w:val="0"/>
              <w:autoSpaceDN w:val="0"/>
              <w:adjustRightInd w:val="0"/>
              <w:spacing w:after="10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 xml:space="preserve">(vii) Administration Overheads (to the extent relates to production activity) </w:t>
            </w:r>
          </w:p>
        </w:tc>
        <w:tc>
          <w:tcPr>
            <w:tcW w:w="3118" w:type="dxa"/>
          </w:tcPr>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50</w:t>
            </w:r>
            <w:r w:rsidRPr="00490550">
              <w:rPr>
                <w:rFonts w:ascii="Century Gothic" w:hAnsi="Century Gothic" w:cs="Century Gothic"/>
                <w:color w:val="000000"/>
                <w:sz w:val="24"/>
                <w:szCs w:val="24"/>
              </w:rPr>
              <w:t xml:space="preserve">.00 </w:t>
            </w:r>
          </w:p>
        </w:tc>
      </w:tr>
      <w:tr w:rsidR="00490550" w:rsidRPr="00490550" w:rsidTr="00490550">
        <w:trPr>
          <w:trHeight w:val="136"/>
        </w:trPr>
        <w:tc>
          <w:tcPr>
            <w:tcW w:w="6240" w:type="dxa"/>
          </w:tcPr>
          <w:p w:rsidR="00490550" w:rsidRPr="00490550" w:rsidRDefault="00490550" w:rsidP="00490550">
            <w:pPr>
              <w:autoSpaceDE w:val="0"/>
              <w:autoSpaceDN w:val="0"/>
              <w:adjustRightInd w:val="0"/>
              <w:spacing w:after="8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Less: Realizable Value of scrap</w:t>
            </w:r>
          </w:p>
        </w:tc>
        <w:tc>
          <w:tcPr>
            <w:tcW w:w="3114" w:type="dxa"/>
          </w:tcPr>
          <w:p w:rsidR="00490550" w:rsidRPr="00490550" w:rsidRDefault="00490550" w:rsidP="00490550">
            <w:pPr>
              <w:autoSpaceDE w:val="0"/>
              <w:autoSpaceDN w:val="0"/>
              <w:adjustRightInd w:val="0"/>
              <w:spacing w:after="80" w:line="201" w:lineRule="atLeast"/>
              <w:ind w:left="2124"/>
              <w:jc w:val="both"/>
              <w:rPr>
                <w:rFonts w:ascii="Century Gothic" w:hAnsi="Century Gothic" w:cs="Century Gothic"/>
                <w:color w:val="000000"/>
                <w:sz w:val="24"/>
                <w:szCs w:val="24"/>
              </w:rPr>
            </w:pPr>
            <w:r>
              <w:rPr>
                <w:rFonts w:ascii="Century Gothic" w:hAnsi="Century Gothic" w:cs="Century Gothic"/>
                <w:color w:val="000000"/>
                <w:sz w:val="24"/>
                <w:szCs w:val="24"/>
                <w:u w:val="single"/>
              </w:rPr>
              <w:t>(40</w:t>
            </w:r>
            <w:r w:rsidRPr="00490550">
              <w:rPr>
                <w:rFonts w:ascii="Century Gothic" w:hAnsi="Century Gothic" w:cs="Century Gothic"/>
                <w:color w:val="000000"/>
                <w:sz w:val="24"/>
                <w:szCs w:val="24"/>
                <w:u w:val="single"/>
              </w:rPr>
              <w:t xml:space="preserve">.00) </w:t>
            </w:r>
          </w:p>
        </w:tc>
      </w:tr>
      <w:tr w:rsidR="00490550" w:rsidRPr="00490550" w:rsidTr="00490550">
        <w:trPr>
          <w:trHeight w:val="136"/>
        </w:trPr>
        <w:tc>
          <w:tcPr>
            <w:tcW w:w="6240" w:type="dxa"/>
          </w:tcPr>
          <w:p w:rsidR="00490550" w:rsidRPr="00490550" w:rsidRDefault="00490550" w:rsidP="00490550">
            <w:pPr>
              <w:autoSpaceDE w:val="0"/>
              <w:autoSpaceDN w:val="0"/>
              <w:adjustRightInd w:val="0"/>
              <w:spacing w:after="8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 xml:space="preserve">Cost of Production </w:t>
            </w:r>
          </w:p>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p>
        </w:tc>
        <w:tc>
          <w:tcPr>
            <w:tcW w:w="3114" w:type="dxa"/>
          </w:tcPr>
          <w:p w:rsidR="00490550" w:rsidRDefault="00490550">
            <w:pPr>
              <w:rPr>
                <w:rFonts w:ascii="Century Gothic" w:hAnsi="Century Gothic" w:cs="Century Gothic"/>
                <w:color w:val="000000"/>
                <w:sz w:val="24"/>
                <w:szCs w:val="24"/>
              </w:rPr>
            </w:pPr>
          </w:p>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3,210.00</w:t>
            </w:r>
          </w:p>
        </w:tc>
      </w:tr>
      <w:tr w:rsidR="00490550" w:rsidRPr="00490550" w:rsidTr="00490550">
        <w:trPr>
          <w:trHeight w:val="136"/>
        </w:trPr>
        <w:tc>
          <w:tcPr>
            <w:tcW w:w="6240" w:type="dxa"/>
          </w:tcPr>
          <w:p w:rsidR="00490550" w:rsidRPr="00490550" w:rsidRDefault="00490550" w:rsidP="00490550">
            <w:pPr>
              <w:autoSpaceDE w:val="0"/>
              <w:autoSpaceDN w:val="0"/>
              <w:adjustRightInd w:val="0"/>
              <w:spacing w:after="8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 xml:space="preserve">Add 10% as per Rule 8 </w:t>
            </w:r>
          </w:p>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p>
        </w:tc>
        <w:tc>
          <w:tcPr>
            <w:tcW w:w="3114" w:type="dxa"/>
          </w:tcPr>
          <w:p w:rsidR="00490550" w:rsidRDefault="00490550">
            <w:pPr>
              <w:rPr>
                <w:rFonts w:ascii="Century Gothic" w:hAnsi="Century Gothic" w:cs="Century Gothic"/>
                <w:color w:val="000000"/>
                <w:sz w:val="24"/>
                <w:szCs w:val="24"/>
              </w:rPr>
            </w:pPr>
          </w:p>
          <w:p w:rsidR="00490550" w:rsidRPr="00490550" w:rsidRDefault="00490550" w:rsidP="00490550">
            <w:pPr>
              <w:autoSpaceDE w:val="0"/>
              <w:autoSpaceDN w:val="0"/>
              <w:adjustRightInd w:val="0"/>
              <w:spacing w:after="8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u w:val="single"/>
              </w:rPr>
              <w:t>321</w:t>
            </w:r>
            <w:r w:rsidRPr="00490550">
              <w:rPr>
                <w:rFonts w:ascii="Century Gothic" w:hAnsi="Century Gothic" w:cs="Century Gothic"/>
                <w:color w:val="000000"/>
                <w:sz w:val="24"/>
                <w:szCs w:val="24"/>
                <w:u w:val="single"/>
              </w:rPr>
              <w:t xml:space="preserve">.00 </w:t>
            </w:r>
          </w:p>
        </w:tc>
      </w:tr>
      <w:tr w:rsidR="00490550" w:rsidRPr="00490550" w:rsidTr="00490550">
        <w:trPr>
          <w:trHeight w:val="136"/>
        </w:trPr>
        <w:tc>
          <w:tcPr>
            <w:tcW w:w="6240" w:type="dxa"/>
          </w:tcPr>
          <w:p w:rsidR="00490550" w:rsidRPr="00490550" w:rsidRDefault="00490550" w:rsidP="00490550">
            <w:pPr>
              <w:autoSpaceDE w:val="0"/>
              <w:autoSpaceDN w:val="0"/>
              <w:adjustRightInd w:val="0"/>
              <w:spacing w:after="100" w:line="201" w:lineRule="atLeast"/>
              <w:jc w:val="both"/>
              <w:rPr>
                <w:rFonts w:ascii="Century Gothic" w:hAnsi="Century Gothic" w:cs="Century Gothic"/>
                <w:color w:val="000000"/>
                <w:sz w:val="24"/>
                <w:szCs w:val="24"/>
              </w:rPr>
            </w:pPr>
            <w:r w:rsidRPr="00490550">
              <w:rPr>
                <w:rFonts w:ascii="Century Gothic" w:hAnsi="Century Gothic" w:cs="Century Gothic"/>
                <w:color w:val="000000"/>
                <w:sz w:val="24"/>
                <w:szCs w:val="24"/>
              </w:rPr>
              <w:t xml:space="preserve">Assessable Value </w:t>
            </w:r>
          </w:p>
          <w:p w:rsidR="00490550" w:rsidRPr="00490550" w:rsidRDefault="00490550" w:rsidP="00490550">
            <w:pPr>
              <w:autoSpaceDE w:val="0"/>
              <w:autoSpaceDN w:val="0"/>
              <w:adjustRightInd w:val="0"/>
              <w:spacing w:after="100" w:line="201" w:lineRule="atLeast"/>
              <w:jc w:val="right"/>
              <w:rPr>
                <w:rFonts w:ascii="Century Gothic" w:hAnsi="Century Gothic" w:cs="Century Gothic"/>
                <w:color w:val="000000"/>
                <w:sz w:val="24"/>
                <w:szCs w:val="24"/>
              </w:rPr>
            </w:pPr>
          </w:p>
        </w:tc>
        <w:tc>
          <w:tcPr>
            <w:tcW w:w="3114" w:type="dxa"/>
          </w:tcPr>
          <w:p w:rsidR="00490550" w:rsidRDefault="00490550">
            <w:pPr>
              <w:rPr>
                <w:rFonts w:ascii="Century Gothic" w:hAnsi="Century Gothic" w:cs="Century Gothic"/>
                <w:color w:val="000000"/>
                <w:sz w:val="24"/>
                <w:szCs w:val="24"/>
              </w:rPr>
            </w:pPr>
          </w:p>
          <w:p w:rsidR="00490550" w:rsidRPr="00490550" w:rsidRDefault="00490550" w:rsidP="00490550">
            <w:pPr>
              <w:autoSpaceDE w:val="0"/>
              <w:autoSpaceDN w:val="0"/>
              <w:adjustRightInd w:val="0"/>
              <w:spacing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u w:val="single"/>
              </w:rPr>
              <w:t>3,531.00</w:t>
            </w:r>
          </w:p>
        </w:tc>
      </w:tr>
    </w:tbl>
    <w:p w:rsidR="007C47C0" w:rsidRDefault="007C47C0" w:rsidP="006A24D1">
      <w:pPr>
        <w:pStyle w:val="Pa73"/>
        <w:spacing w:after="100"/>
        <w:jc w:val="both"/>
        <w:rPr>
          <w:rFonts w:cs="Century Gothic"/>
          <w:b/>
          <w:bCs/>
          <w:color w:val="000000"/>
        </w:rPr>
      </w:pPr>
    </w:p>
    <w:p w:rsidR="007C47C0" w:rsidRPr="00F43C36" w:rsidRDefault="007C47C0" w:rsidP="007C47C0">
      <w:pPr>
        <w:autoSpaceDE w:val="0"/>
        <w:autoSpaceDN w:val="0"/>
        <w:adjustRightInd w:val="0"/>
        <w:spacing w:after="0" w:line="240" w:lineRule="auto"/>
        <w:rPr>
          <w:rFonts w:ascii="TTFF4A0518t00" w:hAnsi="TTFF4A0518t00" w:cs="TTFF4A0518t00"/>
          <w:b/>
          <w:i/>
          <w:color w:val="00B050"/>
          <w:sz w:val="24"/>
          <w:szCs w:val="24"/>
          <w:u w:val="single"/>
        </w:rPr>
      </w:pPr>
      <w:r w:rsidRPr="00F43C36">
        <w:rPr>
          <w:rFonts w:ascii="TTFF4A0518t00" w:hAnsi="TTFF4A0518t00" w:cs="TTFF4A0518t00"/>
          <w:b/>
          <w:i/>
          <w:color w:val="00B050"/>
          <w:sz w:val="24"/>
          <w:szCs w:val="24"/>
          <w:u w:val="single"/>
        </w:rPr>
        <w:t>Case Study 2</w:t>
      </w:r>
      <w:r w:rsidR="00F43C36">
        <w:rPr>
          <w:rFonts w:ascii="TTFF4A0518t00" w:hAnsi="TTFF4A0518t00" w:cs="TTFF4A0518t00"/>
          <w:b/>
          <w:i/>
          <w:color w:val="00B050"/>
          <w:sz w:val="24"/>
          <w:szCs w:val="24"/>
          <w:u w:val="single"/>
        </w:rPr>
        <w:t>:-</w:t>
      </w:r>
    </w:p>
    <w:p w:rsidR="007579D9" w:rsidRPr="007C47C0" w:rsidRDefault="007579D9" w:rsidP="007C47C0">
      <w:pPr>
        <w:autoSpaceDE w:val="0"/>
        <w:autoSpaceDN w:val="0"/>
        <w:adjustRightInd w:val="0"/>
        <w:spacing w:after="0" w:line="240" w:lineRule="auto"/>
        <w:rPr>
          <w:rFonts w:ascii="TTFF4A0518t00" w:hAnsi="TTFF4A0518t00" w:cs="TTFF4A0518t00"/>
          <w:color w:val="FF0000"/>
          <w:sz w:val="24"/>
          <w:szCs w:val="24"/>
        </w:rPr>
      </w:pPr>
    </w:p>
    <w:p w:rsid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Fly Fast Airways Ltd. sold tickets to the travel agents in Indi</w:t>
      </w:r>
      <w:r>
        <w:rPr>
          <w:rFonts w:ascii="TTFF4A0518t00" w:hAnsi="TTFF4A0518t00" w:cs="TTFF4A0518t00"/>
          <w:color w:val="000000"/>
          <w:sz w:val="24"/>
          <w:szCs w:val="24"/>
        </w:rPr>
        <w:t xml:space="preserve">a at a minimum fixed commercial </w:t>
      </w:r>
      <w:r w:rsidRPr="007C47C0">
        <w:rPr>
          <w:rFonts w:ascii="TTFF4A0518t00" w:hAnsi="TTFF4A0518t00" w:cs="TTFF4A0518t00"/>
          <w:color w:val="000000"/>
          <w:sz w:val="24"/>
          <w:szCs w:val="24"/>
        </w:rPr>
        <w:t>price. The agents were permitted to sell the tickets at a higher price. The price to be ch</w:t>
      </w:r>
      <w:r>
        <w:rPr>
          <w:rFonts w:ascii="TTFF4A0518t00" w:hAnsi="TTFF4A0518t00" w:cs="TTFF4A0518t00"/>
          <w:color w:val="000000"/>
          <w:sz w:val="24"/>
          <w:szCs w:val="24"/>
        </w:rPr>
        <w:t xml:space="preserve">arged by </w:t>
      </w:r>
      <w:r w:rsidRPr="007C47C0">
        <w:rPr>
          <w:rFonts w:ascii="TTFF4A0518t00" w:hAnsi="TTFF4A0518t00" w:cs="TTFF4A0518t00"/>
          <w:color w:val="000000"/>
          <w:sz w:val="24"/>
          <w:szCs w:val="24"/>
        </w:rPr>
        <w:t>the travel agents was restricted to a maximum of published p</w:t>
      </w:r>
      <w:r>
        <w:rPr>
          <w:rFonts w:ascii="TTFF4A0518t00" w:hAnsi="TTFF4A0518t00" w:cs="TTFF4A0518t00"/>
          <w:color w:val="000000"/>
          <w:sz w:val="24"/>
          <w:szCs w:val="24"/>
        </w:rPr>
        <w:t xml:space="preserve">rice. Fly Fast Airways Ltd. Was </w:t>
      </w:r>
      <w:r w:rsidRPr="007C47C0">
        <w:rPr>
          <w:rFonts w:ascii="TTFF4A0518t00" w:hAnsi="TTFF4A0518t00" w:cs="TTFF4A0518t00"/>
          <w:color w:val="000000"/>
          <w:sz w:val="24"/>
          <w:szCs w:val="24"/>
        </w:rPr>
        <w:t xml:space="preserve">obliged to pay to its travel agents, a commission at the rate of </w:t>
      </w:r>
      <w:r>
        <w:rPr>
          <w:rFonts w:ascii="TTFF4A0518t00" w:hAnsi="TTFF4A0518t00" w:cs="TTFF4A0518t00"/>
          <w:color w:val="000000"/>
          <w:sz w:val="24"/>
          <w:szCs w:val="24"/>
        </w:rPr>
        <w:t xml:space="preserve">9% of published price, on which </w:t>
      </w:r>
      <w:r w:rsidRPr="007C47C0">
        <w:rPr>
          <w:rFonts w:ascii="TTFF4A0518t00" w:hAnsi="TTFF4A0518t00" w:cs="TTFF4A0518t00"/>
          <w:color w:val="000000"/>
          <w:sz w:val="24"/>
          <w:szCs w:val="24"/>
        </w:rPr>
        <w:t>tax was deducted under Section 194H of the Income Tax Act,</w:t>
      </w:r>
      <w:r>
        <w:rPr>
          <w:rFonts w:ascii="TTFF4A0518t00" w:hAnsi="TTFF4A0518t00" w:cs="TTFF4A0518t00"/>
          <w:color w:val="000000"/>
          <w:sz w:val="24"/>
          <w:szCs w:val="24"/>
        </w:rPr>
        <w:t xml:space="preserve"> 1961 by the company. The </w:t>
      </w:r>
      <w:r w:rsidRPr="007C47C0">
        <w:rPr>
          <w:rFonts w:ascii="TTFF4A0518t00" w:hAnsi="TTFF4A0518t00" w:cs="TTFF4A0518t00"/>
          <w:color w:val="000000"/>
          <w:sz w:val="24"/>
          <w:szCs w:val="24"/>
        </w:rPr>
        <w:t xml:space="preserve">Assessing Officer contended that company was also liable </w:t>
      </w:r>
      <w:r>
        <w:rPr>
          <w:rFonts w:ascii="TTFF4A0518t00" w:hAnsi="TTFF4A0518t00" w:cs="TTFF4A0518t00"/>
          <w:color w:val="000000"/>
          <w:sz w:val="24"/>
          <w:szCs w:val="24"/>
        </w:rPr>
        <w:t xml:space="preserve">to deduct tax at source, on the </w:t>
      </w:r>
      <w:r w:rsidRPr="007C47C0">
        <w:rPr>
          <w:rFonts w:ascii="TTFF4A0518t00" w:hAnsi="TTFF4A0518t00" w:cs="TTFF4A0518t00"/>
          <w:color w:val="000000"/>
          <w:sz w:val="24"/>
          <w:szCs w:val="24"/>
        </w:rPr>
        <w:t>amount of difference between the published price and the min</w:t>
      </w:r>
      <w:r>
        <w:rPr>
          <w:rFonts w:ascii="TTFF4A0518t00" w:hAnsi="TTFF4A0518t00" w:cs="TTFF4A0518t00"/>
          <w:color w:val="000000"/>
          <w:sz w:val="24"/>
          <w:szCs w:val="24"/>
        </w:rPr>
        <w:t xml:space="preserve">imum fixed commercial price, by </w:t>
      </w:r>
      <w:r w:rsidRPr="007C47C0">
        <w:rPr>
          <w:rFonts w:ascii="TTFF4A0518t00" w:hAnsi="TTFF4A0518t00" w:cs="TTFF4A0518t00"/>
          <w:color w:val="000000"/>
          <w:sz w:val="24"/>
          <w:szCs w:val="24"/>
        </w:rPr>
        <w:t>treating it as “additional special commission” in the hands of the agents.</w:t>
      </w: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p>
    <w:p w:rsidR="007C47C0" w:rsidRPr="007C47C0" w:rsidRDefault="007C47C0" w:rsidP="007C47C0">
      <w:pPr>
        <w:autoSpaceDE w:val="0"/>
        <w:autoSpaceDN w:val="0"/>
        <w:adjustRightInd w:val="0"/>
        <w:spacing w:after="0" w:line="240" w:lineRule="auto"/>
        <w:rPr>
          <w:rFonts w:ascii="TTFF4A0518t00" w:hAnsi="TTFF4A0518t00" w:cs="TTFF4A0518t00"/>
          <w:color w:val="000000"/>
          <w:sz w:val="24"/>
          <w:szCs w:val="24"/>
        </w:rPr>
      </w:pPr>
      <w:r w:rsidRPr="007C47C0">
        <w:rPr>
          <w:rFonts w:ascii="TTFF4A0518t00" w:hAnsi="TTFF4A0518t00" w:cs="TTFF4A0518t00"/>
          <w:color w:val="000000"/>
          <w:sz w:val="24"/>
          <w:szCs w:val="24"/>
        </w:rPr>
        <w:t xml:space="preserve">Examine whether the contention of the Assessing Officer is tenable </w:t>
      </w:r>
      <w:r>
        <w:rPr>
          <w:rFonts w:ascii="TTFF4A0518t00" w:hAnsi="TTFF4A0518t00" w:cs="TTFF4A0518t00"/>
          <w:color w:val="000000"/>
          <w:sz w:val="24"/>
          <w:szCs w:val="24"/>
        </w:rPr>
        <w:t xml:space="preserve">in law, in the light of decided </w:t>
      </w:r>
      <w:r w:rsidRPr="007C47C0">
        <w:rPr>
          <w:rFonts w:ascii="TTFF4A0518t00" w:hAnsi="TTFF4A0518t00" w:cs="TTFF4A0518t00"/>
          <w:color w:val="000000"/>
          <w:sz w:val="24"/>
          <w:szCs w:val="24"/>
        </w:rPr>
        <w:t>case law.</w:t>
      </w:r>
    </w:p>
    <w:p w:rsidR="00B5474D" w:rsidRPr="007C47C0" w:rsidRDefault="00B5474D" w:rsidP="007C47C0">
      <w:pPr>
        <w:rPr>
          <w:sz w:val="24"/>
          <w:szCs w:val="24"/>
        </w:rPr>
      </w:pPr>
    </w:p>
    <w:p w:rsidR="007579D9" w:rsidRPr="00F22F0D" w:rsidRDefault="007579D9" w:rsidP="007579D9">
      <w:pPr>
        <w:pStyle w:val="Pa73"/>
        <w:spacing w:after="100"/>
        <w:jc w:val="both"/>
        <w:rPr>
          <w:rFonts w:cs="Century Gothic"/>
          <w:i/>
          <w:color w:val="00B050"/>
          <w:sz w:val="22"/>
          <w:szCs w:val="22"/>
          <w:u w:val="single"/>
        </w:rPr>
      </w:pPr>
      <w:r w:rsidRPr="00F22F0D">
        <w:rPr>
          <w:rFonts w:cs="Century Gothic"/>
          <w:b/>
          <w:bCs/>
          <w:i/>
          <w:color w:val="00B050"/>
          <w:sz w:val="22"/>
          <w:szCs w:val="22"/>
          <w:u w:val="single"/>
        </w:rPr>
        <w:t>Answer:</w:t>
      </w:r>
      <w:r w:rsidR="00F22F0D">
        <w:rPr>
          <w:rFonts w:cs="Century Gothic"/>
          <w:b/>
          <w:bCs/>
          <w:i/>
          <w:color w:val="00B050"/>
          <w:sz w:val="22"/>
          <w:szCs w:val="22"/>
          <w:u w:val="single"/>
        </w:rPr>
        <w:t>-</w:t>
      </w:r>
      <w:r w:rsidRPr="00F22F0D">
        <w:rPr>
          <w:rFonts w:cs="Century Gothic"/>
          <w:b/>
          <w:bCs/>
          <w:i/>
          <w:color w:val="00B050"/>
          <w:sz w:val="22"/>
          <w:szCs w:val="22"/>
          <w:u w:val="single"/>
        </w:rPr>
        <w:t xml:space="preserve"> </w:t>
      </w:r>
    </w:p>
    <w:p w:rsidR="006A24D1" w:rsidRPr="007C47C0" w:rsidRDefault="006951A8" w:rsidP="007579D9">
      <w:pPr>
        <w:pStyle w:val="Pa2112"/>
        <w:spacing w:after="100"/>
        <w:jc w:val="both"/>
        <w:rPr>
          <w:rFonts w:cs="Century Gothic"/>
          <w:color w:val="000000"/>
        </w:rPr>
      </w:pPr>
      <w:r>
        <w:rPr>
          <w:rFonts w:asciiTheme="minorHAnsi" w:hAnsiTheme="minorHAnsi"/>
        </w:rPr>
        <w:t xml:space="preserve">The fact of a given case is similar to the case </w:t>
      </w:r>
      <w:r w:rsidR="007579D9">
        <w:rPr>
          <w:rFonts w:asciiTheme="minorHAnsi" w:hAnsiTheme="minorHAnsi"/>
        </w:rPr>
        <w:t xml:space="preserve">of </w:t>
      </w:r>
      <w:r w:rsidR="006A24D1" w:rsidRPr="007579D9">
        <w:rPr>
          <w:rStyle w:val="A33"/>
          <w:sz w:val="24"/>
          <w:szCs w:val="24"/>
          <w:u w:val="single"/>
        </w:rPr>
        <w:t>CIT vs. Qatar Ai</w:t>
      </w:r>
      <w:r w:rsidR="007579D9" w:rsidRPr="007579D9">
        <w:rPr>
          <w:rStyle w:val="A33"/>
          <w:sz w:val="24"/>
          <w:szCs w:val="24"/>
          <w:u w:val="single"/>
        </w:rPr>
        <w:t>rways</w:t>
      </w:r>
      <w:r w:rsidR="007579D9">
        <w:rPr>
          <w:rStyle w:val="A33"/>
          <w:sz w:val="24"/>
          <w:szCs w:val="24"/>
        </w:rPr>
        <w:t xml:space="preserve"> ,</w:t>
      </w:r>
      <w:r>
        <w:rPr>
          <w:rStyle w:val="A33"/>
          <w:b w:val="0"/>
          <w:sz w:val="24"/>
          <w:szCs w:val="24"/>
        </w:rPr>
        <w:t>where</w:t>
      </w:r>
      <w:r w:rsidR="006A24D1" w:rsidRPr="007C47C0">
        <w:rPr>
          <w:rStyle w:val="A33"/>
          <w:b w:val="0"/>
          <w:bCs w:val="0"/>
          <w:sz w:val="24"/>
          <w:szCs w:val="24"/>
        </w:rPr>
        <w:t xml:space="preserve"> the airline company sold tickets to the agents at a minimum fixed commercial price. The agents were permitted to sell the tickets at a higher price, however, up to the maximum of published price. Commission at the rate of 9% of published price was payable to the agents of the airline company, on which tax was deducted under section 194H. The issue under consideration is whether the difference between the published price and the minimum fixed commercial price amounts to additional special commission in the hands of the agents to attract the provisions of section 194H. </w:t>
      </w:r>
    </w:p>
    <w:p w:rsidR="007579D9" w:rsidRDefault="006A24D1" w:rsidP="007579D9">
      <w:pPr>
        <w:pStyle w:val="Pa2112"/>
        <w:spacing w:after="100"/>
        <w:jc w:val="both"/>
        <w:rPr>
          <w:rFonts w:cs="Century Gothic"/>
          <w:color w:val="000000"/>
        </w:rPr>
      </w:pPr>
      <w:r w:rsidRPr="007C47C0">
        <w:rPr>
          <w:rStyle w:val="A33"/>
          <w:b w:val="0"/>
          <w:bCs w:val="0"/>
          <w:sz w:val="24"/>
          <w:szCs w:val="24"/>
        </w:rPr>
        <w:t xml:space="preserve">On this issue, the Bombay High Court observed that the difference between the published price and minimum fixed commercial price cannot be taken as additional special commission in the hands of the agents, since the published price was the maximum price and airline company had granted permission to the agents to sell the tickets at a price lower than the published price. In order to deduct tax at source, the exact income in the hands of the agents must necessarily be ascertainable by the airline company. However, the airline company would have no information about the exact rate at which the tickets were ultimately sold by its agents, since the agents had been given discretion to sell the tickets at any rate between the minimum fixed commercial price and the published price. It would be impracticable and unreasonable to expect the airline company to get a feedback from its numerous agents in respect of each ticket sold. </w:t>
      </w:r>
    </w:p>
    <w:p w:rsidR="007579D9" w:rsidRDefault="006A24D1" w:rsidP="007579D9">
      <w:pPr>
        <w:pStyle w:val="Pa2112"/>
        <w:spacing w:after="100"/>
        <w:jc w:val="both"/>
        <w:rPr>
          <w:rStyle w:val="A33"/>
          <w:b w:val="0"/>
          <w:bCs w:val="0"/>
          <w:sz w:val="24"/>
          <w:szCs w:val="24"/>
        </w:rPr>
      </w:pPr>
      <w:r w:rsidRPr="007C47C0">
        <w:rPr>
          <w:rStyle w:val="A33"/>
          <w:b w:val="0"/>
          <w:bCs w:val="0"/>
          <w:sz w:val="24"/>
          <w:szCs w:val="24"/>
        </w:rPr>
        <w:t xml:space="preserve">Thus, tax at source was not deductible on the difference between the actual sale price and the minimum fixed commercial price, even though the amount </w:t>
      </w:r>
      <w:r w:rsidRPr="007C47C0">
        <w:rPr>
          <w:rStyle w:val="A33"/>
          <w:b w:val="0"/>
          <w:bCs w:val="0"/>
          <w:sz w:val="24"/>
          <w:szCs w:val="24"/>
        </w:rPr>
        <w:lastRenderedPageBreak/>
        <w:t xml:space="preserve">earned by the agent over and above minimum fixed commercial price would be taxable as income in his hands. </w:t>
      </w:r>
    </w:p>
    <w:p w:rsidR="007579D9" w:rsidRPr="007579D9" w:rsidRDefault="007579D9" w:rsidP="007579D9">
      <w:pPr>
        <w:pStyle w:val="Pa2112"/>
        <w:spacing w:after="100"/>
        <w:jc w:val="both"/>
        <w:rPr>
          <w:rFonts w:cs="Century Gothic"/>
          <w:color w:val="000000"/>
        </w:rPr>
      </w:pPr>
      <w:r w:rsidRPr="003D7DA0">
        <w:rPr>
          <w:b/>
        </w:rPr>
        <w:t>Hence, the contention of Assessing officer was not tenable in law in the light of above decided case law</w:t>
      </w:r>
      <w:r>
        <w:t>.</w:t>
      </w:r>
    </w:p>
    <w:p w:rsidR="006A24D1" w:rsidRDefault="006A24D1" w:rsidP="006A24D1">
      <w:pPr>
        <w:rPr>
          <w:rStyle w:val="A33"/>
          <w:sz w:val="24"/>
          <w:szCs w:val="24"/>
        </w:rPr>
      </w:pPr>
    </w:p>
    <w:p w:rsidR="007579D9" w:rsidRPr="00BF2972" w:rsidRDefault="007579D9" w:rsidP="007579D9">
      <w:pPr>
        <w:autoSpaceDE w:val="0"/>
        <w:autoSpaceDN w:val="0"/>
        <w:adjustRightInd w:val="0"/>
        <w:spacing w:after="0" w:line="240" w:lineRule="auto"/>
        <w:rPr>
          <w:rFonts w:ascii="TTFF4A0518t00" w:hAnsi="TTFF4A0518t00" w:cs="TTFF4A0518t00"/>
          <w:b/>
          <w:i/>
          <w:color w:val="00B050"/>
          <w:sz w:val="24"/>
          <w:szCs w:val="24"/>
          <w:u w:val="single"/>
        </w:rPr>
      </w:pPr>
      <w:r w:rsidRPr="00BF2972">
        <w:rPr>
          <w:rFonts w:ascii="TTFF4A0518t00" w:hAnsi="TTFF4A0518t00" w:cs="TTFF4A0518t00"/>
          <w:b/>
          <w:i/>
          <w:color w:val="00B050"/>
          <w:sz w:val="24"/>
          <w:szCs w:val="24"/>
          <w:u w:val="single"/>
        </w:rPr>
        <w:t>Case Study 3</w:t>
      </w:r>
      <w:r w:rsidR="00BF2972">
        <w:rPr>
          <w:rFonts w:ascii="TTFF4A0518t00" w:hAnsi="TTFF4A0518t00" w:cs="TTFF4A0518t00"/>
          <w:b/>
          <w:i/>
          <w:color w:val="00B050"/>
          <w:sz w:val="24"/>
          <w:szCs w:val="24"/>
          <w:u w:val="single"/>
        </w:rPr>
        <w:t>;-</w:t>
      </w:r>
    </w:p>
    <w:p w:rsidR="006951A8" w:rsidRPr="007579D9" w:rsidRDefault="006951A8" w:rsidP="007579D9">
      <w:pPr>
        <w:autoSpaceDE w:val="0"/>
        <w:autoSpaceDN w:val="0"/>
        <w:adjustRightInd w:val="0"/>
        <w:spacing w:after="0" w:line="240" w:lineRule="auto"/>
        <w:rPr>
          <w:rFonts w:ascii="TTFF4A0518t00" w:hAnsi="TTFF4A0518t00" w:cs="TTFF4A0518t00"/>
          <w:color w:val="FF0000"/>
          <w:sz w:val="24"/>
          <w:szCs w:val="24"/>
        </w:rPr>
      </w:pPr>
    </w:p>
    <w:p w:rsidR="007579D9" w:rsidRDefault="007579D9" w:rsidP="007579D9">
      <w:pPr>
        <w:autoSpaceDE w:val="0"/>
        <w:autoSpaceDN w:val="0"/>
        <w:adjustRightInd w:val="0"/>
        <w:spacing w:after="0" w:line="240" w:lineRule="auto"/>
        <w:rPr>
          <w:rFonts w:ascii="TTFF4A0518t00" w:hAnsi="TTFF4A0518t00" w:cs="TTFF4A0518t00"/>
          <w:color w:val="000000"/>
          <w:sz w:val="24"/>
          <w:szCs w:val="24"/>
        </w:rPr>
      </w:pPr>
      <w:r w:rsidRPr="007579D9">
        <w:rPr>
          <w:rFonts w:ascii="TTFF4A0518t00" w:hAnsi="TTFF4A0518t00" w:cs="TTFF4A0518t00"/>
          <w:color w:val="000000"/>
          <w:sz w:val="24"/>
          <w:szCs w:val="24"/>
        </w:rPr>
        <w:t xml:space="preserve">Mr. Sanghai had sold a commercial property, which was a long term asset and invested </w:t>
      </w:r>
      <w:r>
        <w:rPr>
          <w:rFonts w:ascii="TTFF4A0518t00" w:hAnsi="TTFF4A0518t00" w:cs="TTFF4A0518t00"/>
          <w:color w:val="000000"/>
          <w:sz w:val="24"/>
          <w:szCs w:val="24"/>
        </w:rPr>
        <w:t xml:space="preserve">the </w:t>
      </w:r>
      <w:r w:rsidRPr="007579D9">
        <w:rPr>
          <w:rFonts w:ascii="TTFF4A0518t00" w:hAnsi="TTFF4A0518t00" w:cs="TTFF4A0518t00"/>
          <w:color w:val="000000"/>
          <w:sz w:val="24"/>
          <w:szCs w:val="24"/>
        </w:rPr>
        <w:t>same in purchase and construction of a flat in a apartment in</w:t>
      </w:r>
      <w:r>
        <w:rPr>
          <w:rFonts w:ascii="TTFF4A0518t00" w:hAnsi="TTFF4A0518t00" w:cs="TTFF4A0518t00"/>
          <w:color w:val="000000"/>
          <w:sz w:val="24"/>
          <w:szCs w:val="24"/>
        </w:rPr>
        <w:t xml:space="preserve"> Mumbai, within the one year of </w:t>
      </w:r>
      <w:r w:rsidRPr="007579D9">
        <w:rPr>
          <w:rFonts w:ascii="TTFF4A0518t00" w:hAnsi="TTFF4A0518t00" w:cs="TTFF4A0518t00"/>
          <w:color w:val="000000"/>
          <w:sz w:val="24"/>
          <w:szCs w:val="24"/>
        </w:rPr>
        <w:t>sale of asset and claimed deduction u/s 54F of Income Tax Act</w:t>
      </w:r>
      <w:r>
        <w:rPr>
          <w:rFonts w:ascii="TTFF4A0518t00" w:hAnsi="TTFF4A0518t00" w:cs="TTFF4A0518t00"/>
          <w:color w:val="000000"/>
          <w:sz w:val="24"/>
          <w:szCs w:val="24"/>
        </w:rPr>
        <w:t xml:space="preserve">, but later the builder has not </w:t>
      </w:r>
      <w:r w:rsidRPr="007579D9">
        <w:rPr>
          <w:rFonts w:ascii="TTFF4A0518t00" w:hAnsi="TTFF4A0518t00" w:cs="TTFF4A0518t00"/>
          <w:color w:val="000000"/>
          <w:sz w:val="24"/>
          <w:szCs w:val="24"/>
        </w:rPr>
        <w:t>completed the possession of the apartment within 3 years and the apartment remained u</w:t>
      </w:r>
      <w:r>
        <w:rPr>
          <w:rFonts w:ascii="TTFF4A0518t00" w:hAnsi="TTFF4A0518t00" w:cs="TTFF4A0518t00"/>
          <w:color w:val="000000"/>
          <w:sz w:val="24"/>
          <w:szCs w:val="24"/>
        </w:rPr>
        <w:t xml:space="preserve">nder </w:t>
      </w:r>
      <w:r w:rsidRPr="007579D9">
        <w:rPr>
          <w:rFonts w:ascii="TTFF4A0518t00" w:hAnsi="TTFF4A0518t00" w:cs="TTFF4A0518t00"/>
          <w:color w:val="000000"/>
          <w:sz w:val="24"/>
          <w:szCs w:val="24"/>
        </w:rPr>
        <w:t>construction even after 3 years. The period of 3 years is la</w:t>
      </w:r>
      <w:r>
        <w:rPr>
          <w:rFonts w:ascii="TTFF4A0518t00" w:hAnsi="TTFF4A0518t00" w:cs="TTFF4A0518t00"/>
          <w:color w:val="000000"/>
          <w:sz w:val="24"/>
          <w:szCs w:val="24"/>
        </w:rPr>
        <w:t>psed without any mistake of Mr.</w:t>
      </w:r>
      <w:r w:rsidRPr="007579D9">
        <w:rPr>
          <w:rFonts w:ascii="TTFF4A0518t00" w:hAnsi="TTFF4A0518t00" w:cs="TTFF4A0518t00"/>
          <w:color w:val="000000"/>
          <w:sz w:val="24"/>
          <w:szCs w:val="24"/>
        </w:rPr>
        <w:t>Sanghai now? Will Mr. Sanghai be liable to tax on the capital gai</w:t>
      </w:r>
      <w:r>
        <w:rPr>
          <w:rFonts w:ascii="TTFF4A0518t00" w:hAnsi="TTFF4A0518t00" w:cs="TTFF4A0518t00"/>
          <w:color w:val="000000"/>
          <w:sz w:val="24"/>
          <w:szCs w:val="24"/>
        </w:rPr>
        <w:t xml:space="preserve">ns derived from the sale of the </w:t>
      </w:r>
      <w:r w:rsidRPr="007579D9">
        <w:rPr>
          <w:rFonts w:ascii="TTFF4A0518t00" w:hAnsi="TTFF4A0518t00" w:cs="TTFF4A0518t00"/>
          <w:color w:val="000000"/>
          <w:sz w:val="24"/>
          <w:szCs w:val="24"/>
        </w:rPr>
        <w:t>commercial property (or) Will Mr. Sanghai be freed from the liability of capital gains tax?</w:t>
      </w:r>
    </w:p>
    <w:p w:rsidR="007579D9" w:rsidRPr="007579D9" w:rsidRDefault="007579D9" w:rsidP="007579D9">
      <w:pPr>
        <w:autoSpaceDE w:val="0"/>
        <w:autoSpaceDN w:val="0"/>
        <w:adjustRightInd w:val="0"/>
        <w:spacing w:after="0" w:line="240" w:lineRule="auto"/>
        <w:rPr>
          <w:rFonts w:ascii="TTFF4A0518t00" w:hAnsi="TTFF4A0518t00" w:cs="TTFF4A0518t00"/>
          <w:color w:val="000000"/>
          <w:sz w:val="24"/>
          <w:szCs w:val="24"/>
        </w:rPr>
      </w:pPr>
    </w:p>
    <w:p w:rsidR="007579D9" w:rsidRPr="007579D9" w:rsidRDefault="007579D9" w:rsidP="007579D9">
      <w:pPr>
        <w:autoSpaceDE w:val="0"/>
        <w:autoSpaceDN w:val="0"/>
        <w:adjustRightInd w:val="0"/>
        <w:spacing w:after="0" w:line="240" w:lineRule="auto"/>
        <w:rPr>
          <w:rFonts w:ascii="TTFF4A0518t00" w:hAnsi="TTFF4A0518t00" w:cs="TTFF4A0518t00"/>
          <w:color w:val="000000"/>
          <w:sz w:val="24"/>
          <w:szCs w:val="24"/>
        </w:rPr>
      </w:pPr>
      <w:r w:rsidRPr="007579D9">
        <w:rPr>
          <w:rFonts w:ascii="TTFF4A0518t00" w:hAnsi="TTFF4A0518t00" w:cs="TTFF4A0518t00"/>
          <w:color w:val="000000"/>
          <w:sz w:val="24"/>
          <w:szCs w:val="24"/>
        </w:rPr>
        <w:t>Discuss allowability of exemption u/s. 54F if builder does not</w:t>
      </w:r>
      <w:r>
        <w:rPr>
          <w:rFonts w:ascii="TTFF4A0518t00" w:hAnsi="TTFF4A0518t00" w:cs="TTFF4A0518t00"/>
          <w:color w:val="000000"/>
          <w:sz w:val="24"/>
          <w:szCs w:val="24"/>
        </w:rPr>
        <w:t xml:space="preserve"> complete construction of house </w:t>
      </w:r>
      <w:r w:rsidRPr="007579D9">
        <w:rPr>
          <w:rFonts w:ascii="TTFF4A0518t00" w:hAnsi="TTFF4A0518t00" w:cs="TTFF4A0518t00"/>
          <w:color w:val="000000"/>
          <w:sz w:val="24"/>
          <w:szCs w:val="24"/>
        </w:rPr>
        <w:t>within three Years?</w:t>
      </w:r>
    </w:p>
    <w:p w:rsidR="007579D9" w:rsidRDefault="007579D9" w:rsidP="007579D9">
      <w:pPr>
        <w:rPr>
          <w:rStyle w:val="A33"/>
          <w:sz w:val="24"/>
          <w:szCs w:val="24"/>
        </w:rPr>
      </w:pPr>
    </w:p>
    <w:p w:rsidR="006951A8" w:rsidRPr="00F12349" w:rsidRDefault="006951A8" w:rsidP="006951A8">
      <w:pPr>
        <w:pStyle w:val="Pa73"/>
        <w:spacing w:after="100"/>
        <w:jc w:val="both"/>
        <w:rPr>
          <w:rFonts w:cs="Century Gothic"/>
          <w:i/>
          <w:color w:val="00B050"/>
          <w:sz w:val="22"/>
          <w:szCs w:val="22"/>
          <w:u w:val="single"/>
        </w:rPr>
      </w:pPr>
      <w:r w:rsidRPr="00F12349">
        <w:rPr>
          <w:rFonts w:cs="Century Gothic"/>
          <w:b/>
          <w:bCs/>
          <w:i/>
          <w:color w:val="00B050"/>
          <w:sz w:val="22"/>
          <w:szCs w:val="22"/>
          <w:u w:val="single"/>
        </w:rPr>
        <w:t xml:space="preserve">Answer: </w:t>
      </w:r>
    </w:p>
    <w:p w:rsidR="006A24D1" w:rsidRPr="007C47C0" w:rsidRDefault="006951A8" w:rsidP="006951A8">
      <w:pPr>
        <w:pStyle w:val="Pa2112"/>
        <w:spacing w:after="100"/>
        <w:jc w:val="both"/>
        <w:rPr>
          <w:rFonts w:cs="Century Gothic"/>
          <w:color w:val="000000"/>
        </w:rPr>
      </w:pPr>
      <w:r>
        <w:rPr>
          <w:rStyle w:val="A33"/>
          <w:rFonts w:asciiTheme="minorHAnsi" w:hAnsiTheme="minorHAnsi"/>
          <w:b w:val="0"/>
          <w:sz w:val="24"/>
          <w:szCs w:val="24"/>
        </w:rPr>
        <w:t xml:space="preserve">The fact of a given case is similar to the case of </w:t>
      </w:r>
      <w:r w:rsidR="006A24D1" w:rsidRPr="006951A8">
        <w:rPr>
          <w:rStyle w:val="A33"/>
          <w:sz w:val="24"/>
          <w:szCs w:val="24"/>
          <w:u w:val="single"/>
        </w:rPr>
        <w:t>CIT vs. SambandamUday</w:t>
      </w:r>
      <w:r w:rsidRPr="006951A8">
        <w:rPr>
          <w:rStyle w:val="A33"/>
          <w:sz w:val="24"/>
          <w:szCs w:val="24"/>
          <w:u w:val="single"/>
        </w:rPr>
        <w:t>kumar</w:t>
      </w:r>
      <w:r>
        <w:rPr>
          <w:rStyle w:val="A33"/>
          <w:b w:val="0"/>
          <w:bCs w:val="0"/>
          <w:sz w:val="24"/>
          <w:szCs w:val="24"/>
        </w:rPr>
        <w:t xml:space="preserve">, where </w:t>
      </w:r>
      <w:r w:rsidR="006A24D1" w:rsidRPr="007C47C0">
        <w:rPr>
          <w:rStyle w:val="A33"/>
          <w:b w:val="0"/>
          <w:bCs w:val="0"/>
          <w:sz w:val="24"/>
          <w:szCs w:val="24"/>
        </w:rPr>
        <w:t xml:space="preserve">the assessee has claimed benefit of exemption under section 54F in respect of capital gain arising on sale of shares of a company by investing the amount in construction of a house property. However, the Assessing Officer contended that no exemption under section 54F would be available in this case, as the construction of a residential house was not completed on account of pendency of certain work like flooring, electrical fittings, fittings of door shutter, etc., even after lapse of three years from the date of transfer of the shares. </w:t>
      </w:r>
    </w:p>
    <w:p w:rsidR="006A24D1" w:rsidRPr="007C47C0" w:rsidRDefault="006A24D1" w:rsidP="006951A8">
      <w:pPr>
        <w:pStyle w:val="Pa2112"/>
        <w:spacing w:after="100"/>
        <w:jc w:val="both"/>
        <w:rPr>
          <w:rFonts w:cs="Century Gothic"/>
          <w:color w:val="000000"/>
        </w:rPr>
      </w:pPr>
      <w:r w:rsidRPr="007C47C0">
        <w:rPr>
          <w:rStyle w:val="A33"/>
          <w:b w:val="0"/>
          <w:bCs w:val="0"/>
          <w:sz w:val="24"/>
          <w:szCs w:val="24"/>
        </w:rPr>
        <w:t xml:space="preserve">The Karnataka High Court held that the condition precedent for claiming the benefit under section 54F is that capital gains realized from sale of capital asset should have been invested either in purchasing a residential house or in constructing a residential house. If he has invested the money in the construction of a residential house, merely because the construction was not completed in all respects and possession could not be taken within the stipulated period, would not disentitle the assessee from claiming exemption under section 54F. In fact, in this case, the assessee has taken the possession of the residential building and is living in the said premises despite the pendency of flooring work, electricity work, fitting of door and window shutters. The condition precedent for claiming exemption under section 54F is that the capital gain realized from sale of capital asset should have been parted by the assessee and </w:t>
      </w:r>
      <w:r w:rsidRPr="007C47C0">
        <w:rPr>
          <w:rStyle w:val="A33"/>
          <w:b w:val="0"/>
          <w:bCs w:val="0"/>
          <w:sz w:val="24"/>
          <w:szCs w:val="24"/>
        </w:rPr>
        <w:lastRenderedPageBreak/>
        <w:t xml:space="preserve">invested either in purchasing a residential house or in constructing a residential house within the stipulated period. </w:t>
      </w:r>
    </w:p>
    <w:p w:rsidR="009825F0" w:rsidRDefault="006A24D1" w:rsidP="009825F0">
      <w:pPr>
        <w:pStyle w:val="Pa2112"/>
        <w:spacing w:after="100"/>
        <w:jc w:val="both"/>
        <w:rPr>
          <w:rStyle w:val="A33"/>
          <w:b w:val="0"/>
          <w:bCs w:val="0"/>
          <w:sz w:val="24"/>
          <w:szCs w:val="24"/>
        </w:rPr>
      </w:pPr>
      <w:r w:rsidRPr="007C47C0">
        <w:rPr>
          <w:rStyle w:val="A33"/>
          <w:b w:val="0"/>
          <w:bCs w:val="0"/>
          <w:sz w:val="24"/>
          <w:szCs w:val="24"/>
        </w:rPr>
        <w:t>Therefore, the Court held that in this case the assessee would be entitled to exemption under section 54F in respect of the amount invested in construction within the prescribed period</w:t>
      </w:r>
      <w:r w:rsidR="006951A8">
        <w:rPr>
          <w:rStyle w:val="A33"/>
          <w:b w:val="0"/>
          <w:bCs w:val="0"/>
          <w:sz w:val="24"/>
          <w:szCs w:val="24"/>
        </w:rPr>
        <w:t>.</w:t>
      </w:r>
    </w:p>
    <w:p w:rsidR="006951A8" w:rsidRPr="003D7DA0" w:rsidRDefault="006951A8" w:rsidP="009825F0">
      <w:pPr>
        <w:pStyle w:val="Pa2112"/>
        <w:spacing w:after="100"/>
        <w:jc w:val="both"/>
        <w:rPr>
          <w:rFonts w:cs="Century Gothic"/>
          <w:b/>
          <w:color w:val="000000"/>
        </w:rPr>
      </w:pPr>
      <w:r w:rsidRPr="003D7DA0">
        <w:rPr>
          <w:b/>
        </w:rPr>
        <w:t>In</w:t>
      </w:r>
      <w:r w:rsidR="009825F0" w:rsidRPr="003D7DA0">
        <w:rPr>
          <w:b/>
        </w:rPr>
        <w:t xml:space="preserve"> view of the above Mr .Shanghai would be eligible for exemption u/s 54F and freed from the capital gain tax liability.</w:t>
      </w:r>
    </w:p>
    <w:p w:rsidR="006A24D1" w:rsidRDefault="006A24D1" w:rsidP="006A24D1">
      <w:pPr>
        <w:rPr>
          <w:sz w:val="24"/>
          <w:szCs w:val="24"/>
        </w:rPr>
      </w:pPr>
    </w:p>
    <w:p w:rsidR="009825F0" w:rsidRPr="00032810" w:rsidRDefault="009825F0" w:rsidP="00060B11">
      <w:pPr>
        <w:tabs>
          <w:tab w:val="left" w:pos="1884"/>
        </w:tabs>
        <w:autoSpaceDE w:val="0"/>
        <w:autoSpaceDN w:val="0"/>
        <w:adjustRightInd w:val="0"/>
        <w:spacing w:after="0" w:line="240" w:lineRule="auto"/>
        <w:rPr>
          <w:rFonts w:ascii="TTFF4A0518t00" w:hAnsi="TTFF4A0518t00" w:cs="TTFF4A0518t00"/>
          <w:b/>
          <w:i/>
          <w:color w:val="00B050"/>
          <w:sz w:val="24"/>
          <w:szCs w:val="24"/>
          <w:u w:val="single"/>
        </w:rPr>
      </w:pPr>
      <w:r w:rsidRPr="00032810">
        <w:rPr>
          <w:rFonts w:ascii="TTFF4A0518t00" w:hAnsi="TTFF4A0518t00" w:cs="TTFF4A0518t00"/>
          <w:b/>
          <w:i/>
          <w:color w:val="00B050"/>
          <w:sz w:val="24"/>
          <w:szCs w:val="24"/>
          <w:u w:val="single"/>
        </w:rPr>
        <w:t>Case Study 4</w:t>
      </w:r>
      <w:r w:rsidR="00032810">
        <w:rPr>
          <w:rFonts w:ascii="TTFF4A0518t00" w:hAnsi="TTFF4A0518t00" w:cs="TTFF4A0518t00"/>
          <w:b/>
          <w:i/>
          <w:color w:val="00B050"/>
          <w:sz w:val="24"/>
          <w:szCs w:val="24"/>
          <w:u w:val="single"/>
        </w:rPr>
        <w:t>:-</w:t>
      </w:r>
    </w:p>
    <w:p w:rsidR="009825F0" w:rsidRPr="009825F0" w:rsidRDefault="009825F0" w:rsidP="009825F0">
      <w:pPr>
        <w:autoSpaceDE w:val="0"/>
        <w:autoSpaceDN w:val="0"/>
        <w:adjustRightInd w:val="0"/>
        <w:spacing w:after="0" w:line="240" w:lineRule="auto"/>
        <w:rPr>
          <w:rFonts w:ascii="TTFF4A0518t00" w:hAnsi="TTFF4A0518t00" w:cs="TTFF4A0518t00"/>
          <w:color w:val="FF0000"/>
          <w:sz w:val="24"/>
          <w:szCs w:val="24"/>
        </w:rPr>
      </w:pPr>
    </w:p>
    <w:p w:rsid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Abhishek, a person of Indian origin was working in Austria since</w:t>
      </w:r>
      <w:r>
        <w:rPr>
          <w:rFonts w:ascii="TTFF4A0518t00" w:hAnsi="TTFF4A0518t00" w:cs="TTFF4A0518t00"/>
          <w:color w:val="000000"/>
          <w:sz w:val="24"/>
          <w:szCs w:val="24"/>
        </w:rPr>
        <w:t xml:space="preserve"> 1994. He returned to India for </w:t>
      </w:r>
      <w:r w:rsidRPr="009825F0">
        <w:rPr>
          <w:rFonts w:ascii="TTFF4A0518t00" w:hAnsi="TTFF4A0518t00" w:cs="TTFF4A0518t00"/>
          <w:color w:val="000000"/>
          <w:sz w:val="24"/>
          <w:szCs w:val="24"/>
        </w:rPr>
        <w:t>permanent settlement in May 2014 when he remitted money int</w:t>
      </w:r>
      <w:r>
        <w:rPr>
          <w:rFonts w:ascii="TTFF4A0518t00" w:hAnsi="TTFF4A0518t00" w:cs="TTFF4A0518t00"/>
          <w:color w:val="000000"/>
          <w:sz w:val="24"/>
          <w:szCs w:val="24"/>
        </w:rPr>
        <w:t xml:space="preserve">o India. For the valuation date </w:t>
      </w:r>
      <w:r w:rsidRPr="009825F0">
        <w:rPr>
          <w:rFonts w:ascii="TTFF4A0518t00" w:hAnsi="TTFF4A0518t00" w:cs="TTFF4A0518t00"/>
          <w:color w:val="000000"/>
          <w:sz w:val="24"/>
          <w:szCs w:val="24"/>
        </w:rPr>
        <w:t xml:space="preserve">31.3.2014, the following particulars were furnished. You are </w:t>
      </w:r>
      <w:r>
        <w:rPr>
          <w:rFonts w:ascii="TTFF4A0518t00" w:hAnsi="TTFF4A0518t00" w:cs="TTFF4A0518t00"/>
          <w:color w:val="000000"/>
          <w:sz w:val="24"/>
          <w:szCs w:val="24"/>
        </w:rPr>
        <w:t xml:space="preserve">required to compute the taxable </w:t>
      </w:r>
      <w:r w:rsidRPr="009825F0">
        <w:rPr>
          <w:rFonts w:ascii="TTFF4A0518t00" w:hAnsi="TTFF4A0518t00" w:cs="TTFF4A0518t00"/>
          <w:color w:val="000000"/>
          <w:sz w:val="24"/>
          <w:szCs w:val="24"/>
        </w:rPr>
        <w:t>wealth. The reason for inclusion or exclusion should be stated.</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p>
    <w:p w:rsid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(i) Buildingowned and let-out for 270 days for residence. Net maintainable rent (</w:t>
      </w:r>
      <w:r w:rsidRPr="009825F0">
        <w:rPr>
          <w:rFonts w:ascii="TTFF554D28t00" w:hAnsi="TTFF554D28t00" w:cs="TTFF554D28t00"/>
          <w:color w:val="000000"/>
          <w:sz w:val="24"/>
          <w:szCs w:val="24"/>
        </w:rPr>
        <w:t>`</w:t>
      </w:r>
      <w:r>
        <w:rPr>
          <w:rFonts w:ascii="TTFF4A0518t00" w:hAnsi="TTFF4A0518t00" w:cs="TTFF4A0518t00"/>
          <w:color w:val="000000"/>
          <w:sz w:val="24"/>
          <w:szCs w:val="24"/>
        </w:rPr>
        <w:t xml:space="preserve">1,00,000) </w:t>
      </w:r>
      <w:r w:rsidRPr="009825F0">
        <w:rPr>
          <w:rFonts w:ascii="TTFF4A0518t00" w:hAnsi="TTFF4A0518t00" w:cs="TTFF4A0518t00"/>
          <w:color w:val="000000"/>
          <w:sz w:val="24"/>
          <w:szCs w:val="24"/>
        </w:rPr>
        <w:t>and the Market Value (Excess of Unbuilt Area over Specifi</w:t>
      </w:r>
      <w:r>
        <w:rPr>
          <w:rFonts w:ascii="TTFF4A0518t00" w:hAnsi="TTFF4A0518t00" w:cs="TTFF4A0518t00"/>
          <w:color w:val="000000"/>
          <w:sz w:val="24"/>
          <w:szCs w:val="24"/>
        </w:rPr>
        <w:t xml:space="preserve">ed Area is 20% of the Aggregate </w:t>
      </w:r>
      <w:r w:rsidRPr="009825F0">
        <w:rPr>
          <w:rFonts w:ascii="TTFF4A0518t00" w:hAnsi="TTFF4A0518t00" w:cs="TTFF4A0518t00"/>
          <w:color w:val="000000"/>
          <w:sz w:val="24"/>
          <w:szCs w:val="24"/>
        </w:rPr>
        <w:t xml:space="preserve">Area) </w:t>
      </w:r>
      <w:r w:rsidRPr="009825F0">
        <w:rPr>
          <w:rFonts w:ascii="TTFF554D28t00" w:hAnsi="TTFF554D28t00" w:cs="TTFF554D28t00"/>
          <w:color w:val="000000"/>
          <w:sz w:val="24"/>
          <w:szCs w:val="24"/>
        </w:rPr>
        <w:t xml:space="preserve">` </w:t>
      </w:r>
      <w:r w:rsidRPr="009825F0">
        <w:rPr>
          <w:rFonts w:ascii="TTFF4A0518t00" w:hAnsi="TTFF4A0518t00" w:cs="TTFF4A0518t00"/>
          <w:color w:val="000000"/>
          <w:sz w:val="24"/>
          <w:szCs w:val="24"/>
        </w:rPr>
        <w:t>30 lakhs.</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(ii) Jewellery:</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 xml:space="preserve">(a) Purchased in April 2013 out of money remitted to India from Austria - </w:t>
      </w:r>
      <w:r w:rsidRPr="009825F0">
        <w:rPr>
          <w:rFonts w:ascii="TTFF554D28t00" w:hAnsi="TTFF554D28t00" w:cs="TTFF554D28t00"/>
          <w:color w:val="000000"/>
          <w:sz w:val="24"/>
          <w:szCs w:val="24"/>
        </w:rPr>
        <w:t>`</w:t>
      </w:r>
      <w:r w:rsidRPr="009825F0">
        <w:rPr>
          <w:rFonts w:ascii="TTFF4A0518t00" w:hAnsi="TTFF4A0518t00" w:cs="TTFF4A0518t00"/>
          <w:color w:val="000000"/>
          <w:sz w:val="24"/>
          <w:szCs w:val="24"/>
        </w:rPr>
        <w:t>12,00,000</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(b) Purchased in May 2013, out of sale proceeds of motor-car brought from abroad and</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 xml:space="preserve">sold for </w:t>
      </w:r>
      <w:r w:rsidRPr="009825F0">
        <w:rPr>
          <w:rFonts w:ascii="TTFF554D28t00" w:hAnsi="TTFF554D28t00" w:cs="TTFF554D28t00"/>
          <w:color w:val="000000"/>
          <w:sz w:val="24"/>
          <w:szCs w:val="24"/>
        </w:rPr>
        <w:t xml:space="preserve">` </w:t>
      </w:r>
      <w:r w:rsidRPr="009825F0">
        <w:rPr>
          <w:rFonts w:ascii="TTFF4A0518t00" w:hAnsi="TTFF4A0518t00" w:cs="TTFF4A0518t00"/>
          <w:color w:val="000000"/>
          <w:sz w:val="24"/>
          <w:szCs w:val="24"/>
        </w:rPr>
        <w:t>40 lakhs.</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 xml:space="preserve">(iii) Value of interest in urban land held by a firm in which he is a partner </w:t>
      </w:r>
      <w:r w:rsidRPr="009825F0">
        <w:rPr>
          <w:rFonts w:ascii="TTFF554D28t00" w:hAnsi="TTFF554D28t00" w:cs="TTFF554D28t00"/>
          <w:color w:val="000000"/>
          <w:sz w:val="24"/>
          <w:szCs w:val="24"/>
        </w:rPr>
        <w:t>`</w:t>
      </w:r>
      <w:r w:rsidRPr="009825F0">
        <w:rPr>
          <w:rFonts w:ascii="TTFF4A0518t00" w:hAnsi="TTFF4A0518t00" w:cs="TTFF4A0518t00"/>
          <w:color w:val="000000"/>
          <w:sz w:val="24"/>
          <w:szCs w:val="24"/>
        </w:rPr>
        <w:t>10 Lakhs.</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 xml:space="preserve">(iv) Bonds held in companies </w:t>
      </w:r>
      <w:r w:rsidRPr="009825F0">
        <w:rPr>
          <w:rFonts w:ascii="TTFF554D28t00" w:hAnsi="TTFF554D28t00" w:cs="TTFF554D28t00"/>
          <w:color w:val="000000"/>
          <w:sz w:val="24"/>
          <w:szCs w:val="24"/>
        </w:rPr>
        <w:t>`</w:t>
      </w:r>
      <w:r w:rsidRPr="009825F0">
        <w:rPr>
          <w:rFonts w:ascii="TTFF4A0518t00" w:hAnsi="TTFF4A0518t00" w:cs="TTFF4A0518t00"/>
          <w:color w:val="000000"/>
          <w:sz w:val="24"/>
          <w:szCs w:val="24"/>
        </w:rPr>
        <w:t>10 Lakhs.</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 xml:space="preserve">(v) Motor car used for own business </w:t>
      </w:r>
      <w:r w:rsidRPr="009825F0">
        <w:rPr>
          <w:rFonts w:ascii="TTFF554D28t00" w:hAnsi="TTFF554D28t00" w:cs="TTFF554D28t00"/>
          <w:color w:val="000000"/>
          <w:sz w:val="24"/>
          <w:szCs w:val="24"/>
        </w:rPr>
        <w:t xml:space="preserve">` </w:t>
      </w:r>
      <w:r w:rsidRPr="009825F0">
        <w:rPr>
          <w:rFonts w:ascii="TTFF4A0518t00" w:hAnsi="TTFF4A0518t00" w:cs="TTFF4A0518t00"/>
          <w:color w:val="000000"/>
          <w:sz w:val="24"/>
          <w:szCs w:val="24"/>
        </w:rPr>
        <w:t>25 Lakhs</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(vi) Vacant house plot of 480 sq. mts. (purchased in December 2003) market value of</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554D28t00" w:hAnsi="TTFF554D28t00" w:cs="TTFF554D28t00"/>
          <w:color w:val="000000"/>
          <w:sz w:val="24"/>
          <w:szCs w:val="24"/>
        </w:rPr>
        <w:t>`</w:t>
      </w:r>
      <w:r w:rsidRPr="009825F0">
        <w:rPr>
          <w:rFonts w:ascii="TTFF4A0518t00" w:hAnsi="TTFF4A0518t00" w:cs="TTFF4A0518t00"/>
          <w:color w:val="000000"/>
          <w:sz w:val="24"/>
          <w:szCs w:val="24"/>
        </w:rPr>
        <w:t>20,00,000.</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(vii) Cash in hand -</w:t>
      </w:r>
      <w:r w:rsidRPr="009825F0">
        <w:rPr>
          <w:rFonts w:ascii="TTFF554D28t00" w:hAnsi="TTFF554D28t00" w:cs="TTFF554D28t00"/>
          <w:color w:val="000000"/>
          <w:sz w:val="24"/>
          <w:szCs w:val="24"/>
        </w:rPr>
        <w:t xml:space="preserve">` </w:t>
      </w:r>
      <w:r w:rsidRPr="009825F0">
        <w:rPr>
          <w:rFonts w:ascii="TTFF4A0518t00" w:hAnsi="TTFF4A0518t00" w:cs="TTFF4A0518t00"/>
          <w:color w:val="000000"/>
          <w:sz w:val="24"/>
          <w:szCs w:val="24"/>
        </w:rPr>
        <w:t>45,000.</w:t>
      </w:r>
    </w:p>
    <w:p w:rsidR="009825F0" w:rsidRPr="009825F0" w:rsidRDefault="009825F0" w:rsidP="009825F0">
      <w:pPr>
        <w:autoSpaceDE w:val="0"/>
        <w:autoSpaceDN w:val="0"/>
        <w:adjustRightInd w:val="0"/>
        <w:spacing w:after="0" w:line="240" w:lineRule="auto"/>
        <w:rPr>
          <w:rFonts w:ascii="TTFF4A0518t00" w:hAnsi="TTFF4A0518t00" w:cs="TTFF4A0518t00"/>
          <w:color w:val="000000"/>
          <w:sz w:val="24"/>
          <w:szCs w:val="24"/>
        </w:rPr>
      </w:pPr>
      <w:r w:rsidRPr="009825F0">
        <w:rPr>
          <w:rFonts w:ascii="TTFF4A0518t00" w:hAnsi="TTFF4A0518t00" w:cs="TTFF4A0518t00"/>
          <w:color w:val="000000"/>
          <w:sz w:val="24"/>
          <w:szCs w:val="24"/>
        </w:rPr>
        <w:t xml:space="preserve">(viii) Urban land purchased in the year 2008 out of withdrawals of NRE Account </w:t>
      </w:r>
      <w:r w:rsidRPr="009825F0">
        <w:rPr>
          <w:rFonts w:ascii="TTFF554D28t00" w:hAnsi="TTFF554D28t00" w:cs="TTFF554D28t00"/>
          <w:color w:val="000000"/>
          <w:sz w:val="24"/>
          <w:szCs w:val="24"/>
        </w:rPr>
        <w:t xml:space="preserve">` </w:t>
      </w:r>
      <w:r w:rsidRPr="009825F0">
        <w:rPr>
          <w:rFonts w:ascii="TTFF4A0518t00" w:hAnsi="TTFF4A0518t00" w:cs="TTFF4A0518t00"/>
          <w:color w:val="000000"/>
          <w:sz w:val="24"/>
          <w:szCs w:val="24"/>
        </w:rPr>
        <w:t>15,00,000</w:t>
      </w:r>
    </w:p>
    <w:p w:rsidR="009825F0" w:rsidRDefault="009825F0" w:rsidP="009825F0">
      <w:pPr>
        <w:rPr>
          <w:sz w:val="24"/>
          <w:szCs w:val="24"/>
        </w:rPr>
      </w:pPr>
    </w:p>
    <w:p w:rsidR="00DF5CA8" w:rsidRPr="00CB56FA" w:rsidRDefault="00C8270D" w:rsidP="00C8270D">
      <w:pPr>
        <w:pStyle w:val="Pa73"/>
        <w:spacing w:after="100"/>
        <w:jc w:val="both"/>
        <w:rPr>
          <w:rFonts w:cs="Century Gothic"/>
          <w:i/>
          <w:color w:val="00B050"/>
          <w:sz w:val="22"/>
          <w:szCs w:val="22"/>
          <w:u w:val="single"/>
        </w:rPr>
      </w:pPr>
      <w:r w:rsidRPr="00CB56FA">
        <w:rPr>
          <w:rFonts w:cs="Century Gothic"/>
          <w:b/>
          <w:bCs/>
          <w:i/>
          <w:color w:val="00B050"/>
          <w:sz w:val="22"/>
          <w:szCs w:val="22"/>
          <w:u w:val="single"/>
        </w:rPr>
        <w:t xml:space="preserve">Answer: </w:t>
      </w:r>
    </w:p>
    <w:p w:rsidR="00DF5CA8" w:rsidRDefault="00DF5CA8" w:rsidP="00DF5CA8">
      <w:pPr>
        <w:autoSpaceDE w:val="0"/>
        <w:autoSpaceDN w:val="0"/>
        <w:adjustRightInd w:val="0"/>
        <w:spacing w:after="100" w:line="201" w:lineRule="atLeast"/>
        <w:jc w:val="center"/>
        <w:rPr>
          <w:rFonts w:ascii="Century Gothic" w:hAnsi="Century Gothic" w:cs="Century Gothic"/>
          <w:b/>
          <w:bCs/>
          <w:color w:val="000000"/>
          <w:sz w:val="24"/>
          <w:szCs w:val="24"/>
        </w:rPr>
      </w:pPr>
      <w:r w:rsidRPr="00B53903">
        <w:rPr>
          <w:rFonts w:ascii="Century Gothic" w:hAnsi="Century Gothic" w:cs="Century Gothic"/>
          <w:b/>
          <w:bCs/>
          <w:color w:val="000000"/>
          <w:sz w:val="24"/>
          <w:szCs w:val="24"/>
        </w:rPr>
        <w:t>Assessee :Abhishek</w:t>
      </w:r>
    </w:p>
    <w:p w:rsidR="00DF5CA8" w:rsidRPr="00B53903" w:rsidRDefault="00DF5CA8" w:rsidP="00DF5CA8">
      <w:pPr>
        <w:autoSpaceDE w:val="0"/>
        <w:autoSpaceDN w:val="0"/>
        <w:adjustRightInd w:val="0"/>
        <w:spacing w:after="100" w:line="201" w:lineRule="atLeast"/>
        <w:jc w:val="center"/>
        <w:rPr>
          <w:rFonts w:ascii="Century Gothic" w:hAnsi="Century Gothic" w:cs="Century Gothic"/>
          <w:color w:val="000000"/>
          <w:sz w:val="24"/>
          <w:szCs w:val="24"/>
        </w:rPr>
      </w:pPr>
      <w:r w:rsidRPr="00B53903">
        <w:rPr>
          <w:rFonts w:ascii="Century Gothic" w:hAnsi="Century Gothic" w:cs="Century Gothic"/>
          <w:b/>
          <w:bCs/>
          <w:color w:val="000000"/>
          <w:sz w:val="24"/>
          <w:szCs w:val="24"/>
        </w:rPr>
        <w:t xml:space="preserve"> Valuation Date : 31.3.2014 Assessment Year : 2014-15 </w:t>
      </w:r>
    </w:p>
    <w:p w:rsidR="00DF5CA8" w:rsidRPr="00B53903" w:rsidRDefault="00DF5CA8" w:rsidP="00DF5CA8">
      <w:pPr>
        <w:autoSpaceDE w:val="0"/>
        <w:autoSpaceDN w:val="0"/>
        <w:adjustRightInd w:val="0"/>
        <w:spacing w:after="100" w:line="201" w:lineRule="atLeast"/>
        <w:jc w:val="center"/>
        <w:rPr>
          <w:rFonts w:ascii="Century Gothic" w:hAnsi="Century Gothic" w:cs="Century Gothic"/>
          <w:color w:val="000000"/>
          <w:sz w:val="24"/>
          <w:szCs w:val="24"/>
        </w:rPr>
      </w:pPr>
      <w:r w:rsidRPr="00B53903">
        <w:rPr>
          <w:rFonts w:ascii="Century Gothic" w:hAnsi="Century Gothic" w:cs="Century Gothic"/>
          <w:b/>
          <w:bCs/>
          <w:color w:val="000000"/>
          <w:sz w:val="24"/>
          <w:szCs w:val="24"/>
        </w:rPr>
        <w:t xml:space="preserve">Computation of Net Wealth </w:t>
      </w:r>
    </w:p>
    <w:tbl>
      <w:tblPr>
        <w:tblStyle w:val="TableGrid"/>
        <w:tblW w:w="0" w:type="auto"/>
        <w:tblLayout w:type="fixed"/>
        <w:tblLook w:val="0000"/>
      </w:tblPr>
      <w:tblGrid>
        <w:gridCol w:w="2262"/>
        <w:gridCol w:w="1718"/>
        <w:gridCol w:w="1598"/>
        <w:gridCol w:w="3998"/>
      </w:tblGrid>
      <w:tr w:rsidR="00DF5CA8" w:rsidRPr="00B53903" w:rsidTr="001449DC">
        <w:trPr>
          <w:trHeight w:val="142"/>
        </w:trPr>
        <w:tc>
          <w:tcPr>
            <w:tcW w:w="2262" w:type="dxa"/>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b/>
                <w:bCs/>
                <w:color w:val="000000"/>
                <w:sz w:val="24"/>
                <w:szCs w:val="24"/>
              </w:rPr>
              <w:t xml:space="preserve">Nature of the Asset </w:t>
            </w:r>
          </w:p>
        </w:tc>
        <w:tc>
          <w:tcPr>
            <w:tcW w:w="1718" w:type="dxa"/>
          </w:tcPr>
          <w:p w:rsidR="00DF5CA8" w:rsidRPr="00B53903" w:rsidRDefault="00DF5CA8" w:rsidP="001449DC">
            <w:pPr>
              <w:autoSpaceDE w:val="0"/>
              <w:autoSpaceDN w:val="0"/>
              <w:adjustRightInd w:val="0"/>
              <w:spacing w:after="100" w:line="201" w:lineRule="atLeast"/>
              <w:ind w:hanging="440"/>
              <w:jc w:val="right"/>
              <w:rPr>
                <w:rFonts w:ascii="Rupee Foradian" w:hAnsi="Rupee Foradian" w:cs="Rupee Foradian"/>
                <w:color w:val="000000"/>
                <w:sz w:val="24"/>
                <w:szCs w:val="24"/>
              </w:rPr>
            </w:pPr>
            <w:r w:rsidRPr="00B53903">
              <w:rPr>
                <w:rFonts w:ascii="Rupee Foradian" w:hAnsi="Rupee Foradian" w:cs="Rupee Foradian"/>
                <w:color w:val="000000"/>
                <w:sz w:val="24"/>
                <w:szCs w:val="24"/>
              </w:rPr>
              <w:t xml:space="preserve">` </w:t>
            </w:r>
          </w:p>
        </w:tc>
        <w:tc>
          <w:tcPr>
            <w:tcW w:w="1598" w:type="dxa"/>
          </w:tcPr>
          <w:p w:rsidR="00DF5CA8" w:rsidRPr="00B53903" w:rsidRDefault="00DF5CA8" w:rsidP="001449DC">
            <w:pPr>
              <w:autoSpaceDE w:val="0"/>
              <w:autoSpaceDN w:val="0"/>
              <w:adjustRightInd w:val="0"/>
              <w:spacing w:after="100" w:line="201" w:lineRule="atLeast"/>
              <w:ind w:hanging="440"/>
              <w:jc w:val="right"/>
              <w:rPr>
                <w:rFonts w:ascii="Rupee Foradian" w:hAnsi="Rupee Foradian" w:cs="Rupee Foradian"/>
                <w:color w:val="000000"/>
                <w:sz w:val="24"/>
                <w:szCs w:val="24"/>
              </w:rPr>
            </w:pPr>
            <w:r w:rsidRPr="00B53903">
              <w:rPr>
                <w:rFonts w:ascii="Rupee Foradian" w:hAnsi="Rupee Foradian" w:cs="Rupee Foradian"/>
                <w:color w:val="000000"/>
                <w:sz w:val="24"/>
                <w:szCs w:val="24"/>
              </w:rPr>
              <w:t xml:space="preserve">` </w:t>
            </w:r>
          </w:p>
        </w:tc>
        <w:tc>
          <w:tcPr>
            <w:tcW w:w="3998" w:type="dxa"/>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b/>
                <w:bCs/>
                <w:color w:val="000000"/>
                <w:sz w:val="24"/>
                <w:szCs w:val="24"/>
              </w:rPr>
              <w:t xml:space="preserve">Reasons </w:t>
            </w:r>
          </w:p>
        </w:tc>
      </w:tr>
      <w:tr w:rsidR="00DF5CA8" w:rsidRPr="00B53903" w:rsidTr="001449DC">
        <w:trPr>
          <w:trHeight w:val="1440"/>
        </w:trPr>
        <w:tc>
          <w:tcPr>
            <w:tcW w:w="2262" w:type="dxa"/>
            <w:vMerge w:val="restart"/>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lastRenderedPageBreak/>
              <w:t xml:space="preserve">Value of the House </w:t>
            </w:r>
          </w:p>
          <w:p w:rsidR="00DF5CA8"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Jewellery: Purchased in April 2013 </w:t>
            </w:r>
          </w:p>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Less: Exempt u/s 5(v) </w:t>
            </w:r>
          </w:p>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Jewellery: Purchased in May 2013 </w:t>
            </w:r>
          </w:p>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Less: Exempt u/s 5(v) </w:t>
            </w:r>
          </w:p>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Interest in Urban Land held by firm </w:t>
            </w:r>
          </w:p>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Bonds held in companies </w:t>
            </w:r>
          </w:p>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Motor car </w:t>
            </w:r>
          </w:p>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Vacant House Plot (480 sq. mts.) </w:t>
            </w:r>
          </w:p>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Less: Exempt u/s 5(vi) </w:t>
            </w:r>
          </w:p>
          <w:p w:rsidR="00DF5CA8" w:rsidRPr="00B53903" w:rsidRDefault="00DF5CA8" w:rsidP="001449DC">
            <w:pPr>
              <w:autoSpaceDE w:val="0"/>
              <w:autoSpaceDN w:val="0"/>
              <w:adjustRightInd w:val="0"/>
              <w:spacing w:before="160"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Cash in hand </w:t>
            </w:r>
          </w:p>
          <w:p w:rsidR="00DF5CA8" w:rsidRPr="00B53903" w:rsidRDefault="00DF5CA8" w:rsidP="001449DC">
            <w:pPr>
              <w:autoSpaceDE w:val="0"/>
              <w:autoSpaceDN w:val="0"/>
              <w:adjustRightInd w:val="0"/>
              <w:spacing w:before="160"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Urban Land Purchased </w:t>
            </w:r>
          </w:p>
          <w:p w:rsidR="00DF5CA8" w:rsidRPr="00B53903" w:rsidRDefault="00DF5CA8" w:rsidP="001449DC">
            <w:pPr>
              <w:autoSpaceDE w:val="0"/>
              <w:autoSpaceDN w:val="0"/>
              <w:adjustRightInd w:val="0"/>
              <w:spacing w:before="160"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Less: Exempt u/s 5(v) </w:t>
            </w:r>
          </w:p>
          <w:p w:rsidR="00DF5CA8" w:rsidRDefault="00DF5CA8" w:rsidP="001449DC">
            <w:pPr>
              <w:autoSpaceDE w:val="0"/>
              <w:autoSpaceDN w:val="0"/>
              <w:adjustRightInd w:val="0"/>
              <w:spacing w:before="220" w:after="100" w:line="201" w:lineRule="atLeast"/>
              <w:jc w:val="both"/>
              <w:rPr>
                <w:rFonts w:ascii="Century Gothic" w:hAnsi="Century Gothic" w:cs="Century Gothic"/>
                <w:b/>
                <w:bCs/>
                <w:color w:val="000000"/>
                <w:sz w:val="24"/>
                <w:szCs w:val="24"/>
              </w:rPr>
            </w:pPr>
          </w:p>
          <w:p w:rsidR="00DF5CA8" w:rsidRPr="00B53903" w:rsidRDefault="00DF5CA8" w:rsidP="001449DC">
            <w:pPr>
              <w:autoSpaceDE w:val="0"/>
              <w:autoSpaceDN w:val="0"/>
              <w:adjustRightInd w:val="0"/>
              <w:spacing w:before="220" w:after="100" w:line="201" w:lineRule="atLeast"/>
              <w:jc w:val="both"/>
              <w:rPr>
                <w:rFonts w:ascii="Century Gothic" w:hAnsi="Century Gothic" w:cs="Century Gothic"/>
                <w:color w:val="000000"/>
                <w:sz w:val="24"/>
                <w:szCs w:val="24"/>
              </w:rPr>
            </w:pPr>
            <w:r w:rsidRPr="00B53903">
              <w:rPr>
                <w:rFonts w:ascii="Century Gothic" w:hAnsi="Century Gothic" w:cs="Century Gothic"/>
                <w:b/>
                <w:bCs/>
                <w:color w:val="000000"/>
                <w:sz w:val="24"/>
                <w:szCs w:val="24"/>
              </w:rPr>
              <w:t xml:space="preserve">NET WEALTH </w:t>
            </w:r>
          </w:p>
          <w:p w:rsidR="00DF5CA8" w:rsidRDefault="00DF5CA8" w:rsidP="001449DC">
            <w:pPr>
              <w:autoSpaceDE w:val="0"/>
              <w:autoSpaceDN w:val="0"/>
              <w:adjustRightInd w:val="0"/>
              <w:spacing w:before="220"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Less </w:t>
            </w:r>
            <w:r w:rsidRPr="00B53903">
              <w:rPr>
                <w:rFonts w:ascii="Century Gothic" w:hAnsi="Century Gothic" w:cs="Century Gothic"/>
                <w:b/>
                <w:bCs/>
                <w:color w:val="000000"/>
                <w:sz w:val="24"/>
                <w:szCs w:val="24"/>
              </w:rPr>
              <w:t xml:space="preserve">: </w:t>
            </w:r>
            <w:r>
              <w:rPr>
                <w:rFonts w:ascii="Century Gothic" w:hAnsi="Century Gothic" w:cs="Century Gothic"/>
                <w:color w:val="000000"/>
                <w:sz w:val="24"/>
                <w:szCs w:val="24"/>
              </w:rPr>
              <w:t xml:space="preserve">Basic Exemption </w:t>
            </w:r>
          </w:p>
          <w:p w:rsidR="00DF5CA8" w:rsidRPr="00B53903" w:rsidRDefault="00DF5CA8" w:rsidP="001449DC">
            <w:pPr>
              <w:autoSpaceDE w:val="0"/>
              <w:autoSpaceDN w:val="0"/>
              <w:adjustRightInd w:val="0"/>
              <w:spacing w:before="220" w:after="100" w:line="201" w:lineRule="atLeast"/>
              <w:jc w:val="both"/>
              <w:rPr>
                <w:rFonts w:ascii="Century Gothic" w:hAnsi="Century Gothic" w:cs="Century Gothic"/>
                <w:color w:val="000000"/>
                <w:sz w:val="24"/>
                <w:szCs w:val="24"/>
              </w:rPr>
            </w:pPr>
            <w:r w:rsidRPr="00B53903">
              <w:rPr>
                <w:rFonts w:ascii="Century Gothic" w:hAnsi="Century Gothic" w:cs="Century Gothic"/>
                <w:b/>
                <w:bCs/>
                <w:color w:val="000000"/>
                <w:sz w:val="24"/>
                <w:szCs w:val="24"/>
              </w:rPr>
              <w:t xml:space="preserve">Net Taxable Wealth </w:t>
            </w:r>
          </w:p>
          <w:p w:rsidR="00DF5CA8" w:rsidRPr="00B53903" w:rsidRDefault="00DF5CA8" w:rsidP="001449DC">
            <w:pPr>
              <w:autoSpaceDE w:val="0"/>
              <w:autoSpaceDN w:val="0"/>
              <w:adjustRightInd w:val="0"/>
              <w:spacing w:before="220" w:after="100" w:line="201" w:lineRule="atLeast"/>
              <w:jc w:val="both"/>
              <w:rPr>
                <w:rFonts w:ascii="Century Gothic" w:hAnsi="Century Gothic" w:cs="Century Gothic"/>
                <w:color w:val="000000"/>
                <w:sz w:val="24"/>
                <w:szCs w:val="24"/>
              </w:rPr>
            </w:pPr>
            <w:r>
              <w:rPr>
                <w:rFonts w:ascii="Century Gothic" w:hAnsi="Century Gothic" w:cs="Century Gothic"/>
                <w:b/>
                <w:bCs/>
                <w:color w:val="000000"/>
                <w:sz w:val="24"/>
                <w:szCs w:val="24"/>
              </w:rPr>
              <w:t>Tax Payable@</w:t>
            </w:r>
            <w:r w:rsidRPr="00B53903">
              <w:rPr>
                <w:rFonts w:ascii="Century Gothic" w:hAnsi="Century Gothic" w:cs="Century Gothic"/>
                <w:b/>
                <w:bCs/>
                <w:color w:val="000000"/>
                <w:sz w:val="24"/>
                <w:szCs w:val="24"/>
              </w:rPr>
              <w:t xml:space="preserve"> 1% </w:t>
            </w:r>
          </w:p>
        </w:tc>
        <w:tc>
          <w:tcPr>
            <w:tcW w:w="1718" w:type="dxa"/>
            <w:tcBorders>
              <w:bottom w:val="single" w:sz="4" w:space="0" w:color="auto"/>
            </w:tcBorders>
          </w:tcPr>
          <w:p w:rsidR="00DF5CA8"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p>
          <w:p w:rsidR="00DF5CA8"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12,00,000 </w:t>
            </w: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p>
          <w:p w:rsidR="00DF5CA8" w:rsidRPr="00B53903"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sidRPr="00B53903">
              <w:rPr>
                <w:rFonts w:ascii="Century Gothic" w:hAnsi="Century Gothic" w:cs="Century Gothic"/>
                <w:color w:val="000000"/>
                <w:sz w:val="24"/>
                <w:szCs w:val="24"/>
              </w:rPr>
              <w:t>(12,00,000)</w:t>
            </w:r>
          </w:p>
        </w:tc>
        <w:tc>
          <w:tcPr>
            <w:tcW w:w="1598" w:type="dxa"/>
            <w:vMerge w:val="restart"/>
          </w:tcPr>
          <w:p w:rsidR="00DF5CA8" w:rsidRPr="00B53903"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17,50,000 </w:t>
            </w:r>
          </w:p>
          <w:p w:rsidR="00DF5CA8"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p>
          <w:p w:rsidR="00DF5CA8"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p>
          <w:p w:rsidR="00DF5CA8" w:rsidRPr="00B53903"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Nil </w:t>
            </w:r>
          </w:p>
          <w:p w:rsidR="00DF5CA8" w:rsidRDefault="00DF5CA8" w:rsidP="001449DC">
            <w:pPr>
              <w:autoSpaceDE w:val="0"/>
              <w:autoSpaceDN w:val="0"/>
              <w:adjustRightInd w:val="0"/>
              <w:spacing w:before="220" w:after="100" w:line="201" w:lineRule="atLeast"/>
              <w:jc w:val="right"/>
              <w:rPr>
                <w:rFonts w:ascii="Century Gothic" w:hAnsi="Century Gothic" w:cs="Century Gothic"/>
                <w:color w:val="000000"/>
                <w:sz w:val="24"/>
                <w:szCs w:val="24"/>
              </w:rPr>
            </w:pPr>
          </w:p>
          <w:p w:rsidR="00DF5CA8" w:rsidRDefault="00DF5CA8" w:rsidP="001449DC">
            <w:pPr>
              <w:autoSpaceDE w:val="0"/>
              <w:autoSpaceDN w:val="0"/>
              <w:adjustRightInd w:val="0"/>
              <w:spacing w:before="220" w:after="100" w:line="201" w:lineRule="atLeast"/>
              <w:rPr>
                <w:rFonts w:ascii="Century Gothic" w:hAnsi="Century Gothic" w:cs="Century Gothic"/>
                <w:color w:val="000000"/>
                <w:sz w:val="24"/>
                <w:szCs w:val="24"/>
              </w:rPr>
            </w:pPr>
          </w:p>
          <w:p w:rsidR="00DF5CA8" w:rsidRDefault="00DF5CA8" w:rsidP="001449DC">
            <w:pPr>
              <w:autoSpaceDE w:val="0"/>
              <w:autoSpaceDN w:val="0"/>
              <w:adjustRightInd w:val="0"/>
              <w:spacing w:before="220" w:after="100" w:line="201" w:lineRule="atLeast"/>
              <w:rPr>
                <w:rFonts w:ascii="Century Gothic" w:hAnsi="Century Gothic" w:cs="Century Gothic"/>
                <w:color w:val="000000"/>
                <w:sz w:val="24"/>
                <w:szCs w:val="24"/>
              </w:rPr>
            </w:pPr>
          </w:p>
          <w:p w:rsidR="00DF5CA8" w:rsidRPr="00B53903" w:rsidRDefault="00DF5CA8" w:rsidP="003D7DA0">
            <w:pPr>
              <w:autoSpaceDE w:val="0"/>
              <w:autoSpaceDN w:val="0"/>
              <w:adjustRightInd w:val="0"/>
              <w:spacing w:before="220" w:after="100" w:line="201" w:lineRule="atLeast"/>
              <w:jc w:val="right"/>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Nil </w:t>
            </w:r>
          </w:p>
          <w:p w:rsidR="00DF5CA8" w:rsidRDefault="00DF5CA8" w:rsidP="001449DC">
            <w:pPr>
              <w:autoSpaceDE w:val="0"/>
              <w:autoSpaceDN w:val="0"/>
              <w:adjustRightInd w:val="0"/>
              <w:spacing w:before="100" w:after="100" w:line="201" w:lineRule="atLeast"/>
              <w:jc w:val="right"/>
              <w:rPr>
                <w:rFonts w:ascii="Century Gothic" w:hAnsi="Century Gothic" w:cs="Century Gothic"/>
                <w:color w:val="000000"/>
                <w:sz w:val="24"/>
                <w:szCs w:val="24"/>
              </w:rPr>
            </w:pPr>
          </w:p>
          <w:p w:rsidR="00DF5CA8" w:rsidRDefault="00DF5CA8" w:rsidP="003D7DA0">
            <w:pPr>
              <w:autoSpaceDE w:val="0"/>
              <w:autoSpaceDN w:val="0"/>
              <w:adjustRightInd w:val="0"/>
              <w:spacing w:before="100" w:after="100" w:line="201" w:lineRule="atLeast"/>
              <w:jc w:val="right"/>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10,00,000 </w:t>
            </w:r>
          </w:p>
          <w:p w:rsidR="00DF5CA8" w:rsidRDefault="00DF5CA8" w:rsidP="001449DC">
            <w:pPr>
              <w:autoSpaceDE w:val="0"/>
              <w:autoSpaceDN w:val="0"/>
              <w:adjustRightInd w:val="0"/>
              <w:spacing w:before="100" w:after="100" w:line="201" w:lineRule="atLeast"/>
              <w:rPr>
                <w:rFonts w:ascii="Century Gothic" w:hAnsi="Century Gothic" w:cs="Century Gothic"/>
                <w:color w:val="000000"/>
                <w:sz w:val="24"/>
                <w:szCs w:val="24"/>
              </w:rPr>
            </w:pPr>
          </w:p>
          <w:p w:rsidR="00DF5CA8" w:rsidRPr="00B53903" w:rsidRDefault="00DF5CA8" w:rsidP="003D7DA0">
            <w:pPr>
              <w:autoSpaceDE w:val="0"/>
              <w:autoSpaceDN w:val="0"/>
              <w:adjustRightInd w:val="0"/>
              <w:spacing w:before="100" w:after="100" w:line="201" w:lineRule="atLeast"/>
              <w:jc w:val="right"/>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Nil </w:t>
            </w:r>
          </w:p>
          <w:p w:rsidR="00DF5CA8" w:rsidRPr="00B53903" w:rsidRDefault="00DF5CA8" w:rsidP="003D7DA0">
            <w:pPr>
              <w:autoSpaceDE w:val="0"/>
              <w:autoSpaceDN w:val="0"/>
              <w:adjustRightInd w:val="0"/>
              <w:spacing w:before="100" w:after="40" w:line="201" w:lineRule="atLeast"/>
              <w:jc w:val="right"/>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25,00,000 </w:t>
            </w:r>
          </w:p>
          <w:p w:rsidR="00DF5CA8" w:rsidRDefault="00DF5CA8" w:rsidP="001449DC">
            <w:pPr>
              <w:autoSpaceDE w:val="0"/>
              <w:autoSpaceDN w:val="0"/>
              <w:adjustRightInd w:val="0"/>
              <w:spacing w:before="100" w:after="100" w:line="201" w:lineRule="atLeast"/>
              <w:jc w:val="right"/>
              <w:rPr>
                <w:rFonts w:ascii="Century Gothic" w:hAnsi="Century Gothic" w:cs="Century Gothic"/>
                <w:color w:val="000000"/>
                <w:sz w:val="24"/>
                <w:szCs w:val="24"/>
              </w:rPr>
            </w:pPr>
          </w:p>
          <w:p w:rsidR="00DF5CA8" w:rsidRPr="00B53903" w:rsidRDefault="00DF5CA8" w:rsidP="003D7DA0">
            <w:pPr>
              <w:autoSpaceDE w:val="0"/>
              <w:autoSpaceDN w:val="0"/>
              <w:adjustRightInd w:val="0"/>
              <w:spacing w:before="100" w:after="100" w:line="201" w:lineRule="atLeast"/>
              <w:rPr>
                <w:rFonts w:ascii="Century Gothic" w:hAnsi="Century Gothic" w:cs="Century Gothic"/>
                <w:color w:val="000000"/>
                <w:sz w:val="24"/>
                <w:szCs w:val="24"/>
              </w:rPr>
            </w:pPr>
            <w:r>
              <w:rPr>
                <w:rFonts w:ascii="Century Gothic" w:hAnsi="Century Gothic" w:cs="Century Gothic"/>
                <w:color w:val="000000"/>
                <w:sz w:val="24"/>
                <w:szCs w:val="24"/>
              </w:rPr>
              <w:t>Nil</w:t>
            </w:r>
          </w:p>
          <w:p w:rsidR="003D7DA0" w:rsidRDefault="003D7DA0" w:rsidP="003D7DA0">
            <w:pPr>
              <w:autoSpaceDE w:val="0"/>
              <w:autoSpaceDN w:val="0"/>
              <w:adjustRightInd w:val="0"/>
              <w:spacing w:before="40" w:after="100" w:line="201" w:lineRule="atLeast"/>
              <w:jc w:val="right"/>
              <w:rPr>
                <w:rFonts w:ascii="Century Gothic" w:hAnsi="Century Gothic" w:cs="Century Gothic"/>
                <w:color w:val="000000"/>
                <w:sz w:val="24"/>
                <w:szCs w:val="24"/>
              </w:rPr>
            </w:pPr>
          </w:p>
          <w:p w:rsidR="00DF5CA8" w:rsidRDefault="00DF5CA8" w:rsidP="003D7DA0">
            <w:pPr>
              <w:autoSpaceDE w:val="0"/>
              <w:autoSpaceDN w:val="0"/>
              <w:adjustRightInd w:val="0"/>
              <w:spacing w:before="40"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Nil</w:t>
            </w:r>
          </w:p>
          <w:p w:rsidR="00DF5CA8" w:rsidRDefault="00DF5CA8" w:rsidP="001449DC">
            <w:pPr>
              <w:autoSpaceDE w:val="0"/>
              <w:autoSpaceDN w:val="0"/>
              <w:adjustRightInd w:val="0"/>
              <w:spacing w:before="40" w:after="100" w:line="201" w:lineRule="atLeast"/>
              <w:rPr>
                <w:rFonts w:ascii="Century Gothic" w:hAnsi="Century Gothic" w:cs="Century Gothic"/>
                <w:color w:val="000000"/>
                <w:sz w:val="24"/>
                <w:szCs w:val="24"/>
              </w:rPr>
            </w:pPr>
          </w:p>
          <w:p w:rsidR="00DF5CA8" w:rsidRDefault="00DF5CA8" w:rsidP="001449DC">
            <w:pPr>
              <w:autoSpaceDE w:val="0"/>
              <w:autoSpaceDN w:val="0"/>
              <w:adjustRightInd w:val="0"/>
              <w:spacing w:before="40" w:after="100" w:line="201" w:lineRule="atLeast"/>
              <w:rPr>
                <w:rFonts w:ascii="Century Gothic" w:hAnsi="Century Gothic" w:cs="Century Gothic"/>
                <w:color w:val="000000"/>
                <w:sz w:val="24"/>
                <w:szCs w:val="24"/>
              </w:rPr>
            </w:pPr>
          </w:p>
          <w:p w:rsidR="00DF5CA8" w:rsidRDefault="00DF5CA8" w:rsidP="001449DC">
            <w:pPr>
              <w:autoSpaceDE w:val="0"/>
              <w:autoSpaceDN w:val="0"/>
              <w:adjustRightInd w:val="0"/>
              <w:spacing w:before="40" w:after="100" w:line="201" w:lineRule="atLeast"/>
              <w:rPr>
                <w:rFonts w:ascii="Century Gothic" w:hAnsi="Century Gothic" w:cs="Century Gothic"/>
                <w:color w:val="000000"/>
                <w:sz w:val="24"/>
                <w:szCs w:val="24"/>
              </w:rPr>
            </w:pPr>
          </w:p>
          <w:p w:rsidR="00DF5CA8" w:rsidRPr="00B53903" w:rsidRDefault="00DF5CA8" w:rsidP="003D7DA0">
            <w:pPr>
              <w:autoSpaceDE w:val="0"/>
              <w:autoSpaceDN w:val="0"/>
              <w:adjustRightInd w:val="0"/>
              <w:spacing w:before="40" w:after="100" w:line="201" w:lineRule="atLeast"/>
              <w:jc w:val="right"/>
              <w:rPr>
                <w:rFonts w:ascii="Century Gothic" w:hAnsi="Century Gothic" w:cs="Century Gothic"/>
                <w:color w:val="000000"/>
                <w:sz w:val="24"/>
                <w:szCs w:val="24"/>
              </w:rPr>
            </w:pPr>
            <w:r w:rsidRPr="00B53903">
              <w:rPr>
                <w:rFonts w:ascii="Century Gothic" w:hAnsi="Century Gothic" w:cs="Century Gothic"/>
                <w:color w:val="000000"/>
                <w:sz w:val="24"/>
                <w:szCs w:val="24"/>
              </w:rPr>
              <w:t>Nil</w:t>
            </w:r>
          </w:p>
        </w:tc>
        <w:tc>
          <w:tcPr>
            <w:tcW w:w="3998" w:type="dxa"/>
            <w:vMerge w:val="restart"/>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Asset u/s 2(ea). Working Note 1 </w:t>
            </w:r>
          </w:p>
          <w:p w:rsidR="00DF5CA8"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p w:rsidR="00DF5CA8"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Asset u/s 2(ea). Purchased out of money brought into India </w:t>
            </w:r>
          </w:p>
          <w:p w:rsidR="00DF5CA8"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p w:rsidR="00DF5CA8"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p w:rsidR="00DF5CA8"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Asset u/s 2(ea). Purchased out of sale proceeds of assets brought into India </w:t>
            </w:r>
          </w:p>
          <w:p w:rsidR="00DF5CA8" w:rsidRPr="00B53903" w:rsidRDefault="00DF5CA8" w:rsidP="001449DC">
            <w:pPr>
              <w:autoSpaceDE w:val="0"/>
              <w:autoSpaceDN w:val="0"/>
              <w:adjustRightInd w:val="0"/>
              <w:spacing w:after="4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Deemed Asset u/s 4(1)(b) </w:t>
            </w:r>
          </w:p>
          <w:p w:rsidR="00DF5CA8" w:rsidRDefault="00DF5CA8" w:rsidP="001449DC">
            <w:pPr>
              <w:autoSpaceDE w:val="0"/>
              <w:autoSpaceDN w:val="0"/>
              <w:adjustRightInd w:val="0"/>
              <w:spacing w:before="40" w:after="40" w:line="201" w:lineRule="atLeast"/>
              <w:jc w:val="both"/>
              <w:rPr>
                <w:rFonts w:ascii="Century Gothic" w:hAnsi="Century Gothic" w:cs="Century Gothic"/>
                <w:color w:val="000000"/>
                <w:sz w:val="24"/>
                <w:szCs w:val="24"/>
              </w:rPr>
            </w:pPr>
          </w:p>
          <w:p w:rsidR="00DF5CA8" w:rsidRPr="00B53903" w:rsidRDefault="00DF5CA8" w:rsidP="001449DC">
            <w:pPr>
              <w:autoSpaceDE w:val="0"/>
              <w:autoSpaceDN w:val="0"/>
              <w:adjustRightInd w:val="0"/>
              <w:spacing w:before="40" w:after="4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Not an asset u/s 2(ea) </w:t>
            </w:r>
          </w:p>
          <w:p w:rsidR="00DF5CA8" w:rsidRDefault="00DF5CA8" w:rsidP="001449DC">
            <w:pPr>
              <w:autoSpaceDE w:val="0"/>
              <w:autoSpaceDN w:val="0"/>
              <w:adjustRightInd w:val="0"/>
              <w:spacing w:before="40" w:after="180" w:line="201" w:lineRule="atLeast"/>
              <w:jc w:val="both"/>
              <w:rPr>
                <w:rFonts w:ascii="Century Gothic" w:hAnsi="Century Gothic" w:cs="Century Gothic"/>
                <w:color w:val="000000"/>
                <w:sz w:val="24"/>
                <w:szCs w:val="24"/>
              </w:rPr>
            </w:pPr>
          </w:p>
          <w:p w:rsidR="00DF5CA8" w:rsidRPr="00B53903" w:rsidRDefault="00DF5CA8" w:rsidP="001449DC">
            <w:pPr>
              <w:autoSpaceDE w:val="0"/>
              <w:autoSpaceDN w:val="0"/>
              <w:adjustRightInd w:val="0"/>
              <w:spacing w:before="40" w:after="18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Asset u/s 2(ea). Not held as stock-in-trade </w:t>
            </w:r>
          </w:p>
          <w:p w:rsidR="00DF5CA8" w:rsidRDefault="00DF5CA8" w:rsidP="001449DC">
            <w:pPr>
              <w:autoSpaceDE w:val="0"/>
              <w:autoSpaceDN w:val="0"/>
              <w:adjustRightInd w:val="0"/>
              <w:spacing w:before="40" w:after="16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Asset u/s 2 (ea).House/part of hou</w:t>
            </w:r>
            <w:r>
              <w:rPr>
                <w:rFonts w:ascii="Century Gothic" w:hAnsi="Century Gothic" w:cs="Century Gothic"/>
                <w:color w:val="000000"/>
                <w:sz w:val="24"/>
                <w:szCs w:val="24"/>
              </w:rPr>
              <w:t xml:space="preserve">se/ plot less than 500 sq.mts. </w:t>
            </w:r>
          </w:p>
          <w:p w:rsidR="00DF5CA8" w:rsidRPr="00B53903" w:rsidRDefault="00DF5CA8" w:rsidP="001449DC">
            <w:pPr>
              <w:autoSpaceDE w:val="0"/>
              <w:autoSpaceDN w:val="0"/>
              <w:adjustRightInd w:val="0"/>
              <w:spacing w:before="40" w:after="16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Since not exceeding </w:t>
            </w:r>
            <w:r w:rsidRPr="00B53903">
              <w:rPr>
                <w:rFonts w:ascii="Rupee Foradian" w:hAnsi="Rupee Foradian" w:cs="Rupee Foradian"/>
                <w:color w:val="000000"/>
                <w:sz w:val="24"/>
                <w:szCs w:val="24"/>
              </w:rPr>
              <w:t xml:space="preserve">` </w:t>
            </w:r>
            <w:r w:rsidRPr="00B53903">
              <w:rPr>
                <w:rFonts w:ascii="Century Gothic" w:hAnsi="Century Gothic" w:cs="Century Gothic"/>
                <w:color w:val="000000"/>
                <w:sz w:val="24"/>
                <w:szCs w:val="24"/>
              </w:rPr>
              <w:t xml:space="preserve">50,000 </w:t>
            </w:r>
          </w:p>
          <w:p w:rsidR="00DF5CA8" w:rsidRDefault="00DF5CA8" w:rsidP="001449DC">
            <w:pPr>
              <w:autoSpaceDE w:val="0"/>
              <w:autoSpaceDN w:val="0"/>
              <w:adjustRightInd w:val="0"/>
              <w:spacing w:before="100" w:after="100" w:line="201" w:lineRule="atLeast"/>
              <w:jc w:val="both"/>
              <w:rPr>
                <w:rFonts w:ascii="Century Gothic" w:hAnsi="Century Gothic" w:cs="Century Gothic"/>
                <w:color w:val="000000"/>
                <w:sz w:val="24"/>
                <w:szCs w:val="24"/>
              </w:rPr>
            </w:pPr>
          </w:p>
          <w:p w:rsidR="00DF5CA8" w:rsidRDefault="00DF5CA8" w:rsidP="001449DC">
            <w:pPr>
              <w:autoSpaceDE w:val="0"/>
              <w:autoSpaceDN w:val="0"/>
              <w:adjustRightInd w:val="0"/>
              <w:spacing w:before="100" w:after="100" w:line="201" w:lineRule="atLeast"/>
              <w:jc w:val="both"/>
              <w:rPr>
                <w:rFonts w:ascii="Century Gothic" w:hAnsi="Century Gothic" w:cs="Century Gothic"/>
                <w:color w:val="000000"/>
                <w:sz w:val="24"/>
                <w:szCs w:val="24"/>
              </w:rPr>
            </w:pPr>
          </w:p>
          <w:p w:rsidR="00DF5CA8" w:rsidRPr="00B53903" w:rsidRDefault="00DF5CA8" w:rsidP="001449DC">
            <w:pPr>
              <w:autoSpaceDE w:val="0"/>
              <w:autoSpaceDN w:val="0"/>
              <w:adjustRightInd w:val="0"/>
              <w:spacing w:before="100" w:after="100" w:line="201" w:lineRule="atLeast"/>
              <w:jc w:val="both"/>
              <w:rPr>
                <w:rFonts w:ascii="Century Gothic" w:hAnsi="Century Gothic" w:cs="Century Gothic"/>
                <w:color w:val="000000"/>
                <w:sz w:val="24"/>
                <w:szCs w:val="24"/>
              </w:rPr>
            </w:pPr>
            <w:r w:rsidRPr="00B53903">
              <w:rPr>
                <w:rFonts w:ascii="Century Gothic" w:hAnsi="Century Gothic" w:cs="Century Gothic"/>
                <w:color w:val="000000"/>
                <w:sz w:val="24"/>
                <w:szCs w:val="24"/>
              </w:rPr>
              <w:t xml:space="preserve">Purchased out of money brought into India </w:t>
            </w:r>
          </w:p>
        </w:tc>
      </w:tr>
      <w:tr w:rsidR="00DF5CA8" w:rsidRPr="00B53903" w:rsidTr="001449DC">
        <w:trPr>
          <w:trHeight w:val="1584"/>
        </w:trPr>
        <w:tc>
          <w:tcPr>
            <w:tcW w:w="2262" w:type="dxa"/>
            <w:vMerge/>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c>
          <w:tcPr>
            <w:tcW w:w="1718" w:type="dxa"/>
            <w:tcBorders>
              <w:bottom w:val="single" w:sz="4" w:space="0" w:color="auto"/>
            </w:tcBorders>
          </w:tcPr>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 xml:space="preserve">               40,00,000</w:t>
            </w: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(40,00,000)</w:t>
            </w:r>
          </w:p>
        </w:tc>
        <w:tc>
          <w:tcPr>
            <w:tcW w:w="1598" w:type="dxa"/>
            <w:vMerge/>
          </w:tcPr>
          <w:p w:rsidR="00DF5CA8" w:rsidRPr="00B53903"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p>
        </w:tc>
        <w:tc>
          <w:tcPr>
            <w:tcW w:w="3998" w:type="dxa"/>
            <w:vMerge/>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r>
      <w:tr w:rsidR="00DF5CA8" w:rsidRPr="00B53903" w:rsidTr="001449DC">
        <w:trPr>
          <w:trHeight w:val="3096"/>
        </w:trPr>
        <w:tc>
          <w:tcPr>
            <w:tcW w:w="2262" w:type="dxa"/>
            <w:vMerge/>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c>
          <w:tcPr>
            <w:tcW w:w="1718" w:type="dxa"/>
            <w:tcBorders>
              <w:bottom w:val="single" w:sz="4" w:space="0" w:color="auto"/>
            </w:tcBorders>
          </w:tcPr>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20,00,000</w:t>
            </w: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(20,00,000)</w:t>
            </w:r>
          </w:p>
        </w:tc>
        <w:tc>
          <w:tcPr>
            <w:tcW w:w="1598" w:type="dxa"/>
            <w:vMerge/>
          </w:tcPr>
          <w:p w:rsidR="00DF5CA8" w:rsidRPr="00B53903"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p>
        </w:tc>
        <w:tc>
          <w:tcPr>
            <w:tcW w:w="3998" w:type="dxa"/>
            <w:vMerge/>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r>
      <w:tr w:rsidR="00DF5CA8" w:rsidRPr="00B53903" w:rsidTr="001449DC">
        <w:trPr>
          <w:trHeight w:val="2592"/>
        </w:trPr>
        <w:tc>
          <w:tcPr>
            <w:tcW w:w="2262" w:type="dxa"/>
            <w:vMerge/>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c>
          <w:tcPr>
            <w:tcW w:w="1718" w:type="dxa"/>
            <w:tcBorders>
              <w:bottom w:val="single" w:sz="4" w:space="0" w:color="auto"/>
            </w:tcBorders>
          </w:tcPr>
          <w:p w:rsidR="00DF5CA8" w:rsidRDefault="00DF5CA8" w:rsidP="001449DC">
            <w:pPr>
              <w:autoSpaceDE w:val="0"/>
              <w:autoSpaceDN w:val="0"/>
              <w:adjustRightInd w:val="0"/>
              <w:spacing w:after="100" w:line="201" w:lineRule="atLeast"/>
              <w:rPr>
                <w:rFonts w:ascii="Century Gothic" w:hAnsi="Century Gothic" w:cs="Century Gothic"/>
                <w:color w:val="000000"/>
                <w:sz w:val="24"/>
                <w:szCs w:val="24"/>
              </w:rPr>
            </w:pPr>
          </w:p>
          <w:p w:rsidR="00DF5CA8" w:rsidRDefault="00DF5CA8" w:rsidP="001449DC">
            <w:pPr>
              <w:autoSpaceDE w:val="0"/>
              <w:autoSpaceDN w:val="0"/>
              <w:adjustRightInd w:val="0"/>
              <w:spacing w:after="100" w:line="201" w:lineRule="atLeast"/>
              <w:rPr>
                <w:rFonts w:ascii="Century Gothic" w:hAnsi="Century Gothic" w:cs="Century Gothic"/>
                <w:color w:val="000000"/>
                <w:sz w:val="24"/>
                <w:szCs w:val="24"/>
              </w:rPr>
            </w:pPr>
          </w:p>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 xml:space="preserve">               15,00,000</w:t>
            </w:r>
          </w:p>
          <w:p w:rsidR="00DF5CA8" w:rsidRPr="00B53903"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 xml:space="preserve">    (15,00,000)</w:t>
            </w:r>
          </w:p>
        </w:tc>
        <w:tc>
          <w:tcPr>
            <w:tcW w:w="1598" w:type="dxa"/>
            <w:vMerge/>
          </w:tcPr>
          <w:p w:rsidR="00DF5CA8" w:rsidRPr="00B53903"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p>
        </w:tc>
        <w:tc>
          <w:tcPr>
            <w:tcW w:w="3998" w:type="dxa"/>
            <w:vMerge/>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r>
      <w:tr w:rsidR="00DF5CA8" w:rsidRPr="00B53903" w:rsidTr="001449DC">
        <w:trPr>
          <w:trHeight w:val="1606"/>
        </w:trPr>
        <w:tc>
          <w:tcPr>
            <w:tcW w:w="2262" w:type="dxa"/>
            <w:vMerge/>
            <w:tcBorders>
              <w:bottom w:val="single" w:sz="4" w:space="0" w:color="auto"/>
            </w:tcBorders>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c>
          <w:tcPr>
            <w:tcW w:w="1718" w:type="dxa"/>
            <w:vMerge w:val="restart"/>
            <w:tcBorders>
              <w:bottom w:val="single" w:sz="4" w:space="0" w:color="auto"/>
            </w:tcBorders>
          </w:tcPr>
          <w:p w:rsidR="00DF5CA8" w:rsidRPr="00B53903"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p>
        </w:tc>
        <w:tc>
          <w:tcPr>
            <w:tcW w:w="1598" w:type="dxa"/>
            <w:tcBorders>
              <w:bottom w:val="single" w:sz="4" w:space="0" w:color="auto"/>
            </w:tcBorders>
          </w:tcPr>
          <w:p w:rsidR="00DF5CA8" w:rsidRPr="00B53903" w:rsidRDefault="00DF5CA8" w:rsidP="003D7DA0">
            <w:pPr>
              <w:autoSpaceDE w:val="0"/>
              <w:autoSpaceDN w:val="0"/>
              <w:adjustRightInd w:val="0"/>
              <w:spacing w:before="40"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 xml:space="preserve">                                  52,50,000</w:t>
            </w:r>
          </w:p>
          <w:p w:rsidR="00DF5CA8" w:rsidRPr="00B53903"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30,00,000</w:t>
            </w:r>
          </w:p>
        </w:tc>
        <w:tc>
          <w:tcPr>
            <w:tcW w:w="3998" w:type="dxa"/>
            <w:vMerge w:val="restart"/>
            <w:tcBorders>
              <w:top w:val="single" w:sz="4" w:space="0" w:color="auto"/>
              <w:bottom w:val="single" w:sz="4" w:space="0" w:color="auto"/>
            </w:tcBorders>
            <w:shd w:val="clear" w:color="auto" w:fill="FFFFFF" w:themeFill="background1"/>
          </w:tcPr>
          <w:p w:rsidR="00DF5CA8" w:rsidRPr="00B53903" w:rsidRDefault="00DF5CA8" w:rsidP="001449DC">
            <w:pPr>
              <w:rPr>
                <w:rFonts w:cs="Century Gothic"/>
                <w:color w:val="000000"/>
                <w:sz w:val="24"/>
                <w:szCs w:val="24"/>
              </w:rPr>
            </w:pPr>
          </w:p>
        </w:tc>
      </w:tr>
      <w:tr w:rsidR="00DF5CA8" w:rsidRPr="00B53903" w:rsidTr="001449DC">
        <w:trPr>
          <w:trHeight w:val="672"/>
        </w:trPr>
        <w:tc>
          <w:tcPr>
            <w:tcW w:w="2262" w:type="dxa"/>
            <w:vMerge/>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c>
          <w:tcPr>
            <w:tcW w:w="1718" w:type="dxa"/>
            <w:vMerge/>
          </w:tcPr>
          <w:p w:rsidR="00DF5CA8"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p>
        </w:tc>
        <w:tc>
          <w:tcPr>
            <w:tcW w:w="1598" w:type="dxa"/>
          </w:tcPr>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22,50,000</w:t>
            </w:r>
          </w:p>
        </w:tc>
        <w:tc>
          <w:tcPr>
            <w:tcW w:w="3998" w:type="dxa"/>
            <w:vMerge/>
            <w:shd w:val="clear" w:color="auto" w:fill="FFFFFF" w:themeFill="background1"/>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r>
      <w:tr w:rsidR="00DF5CA8" w:rsidRPr="00B53903" w:rsidTr="001449DC">
        <w:trPr>
          <w:trHeight w:val="468"/>
        </w:trPr>
        <w:tc>
          <w:tcPr>
            <w:tcW w:w="2262" w:type="dxa"/>
            <w:vMerge/>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c>
          <w:tcPr>
            <w:tcW w:w="1718" w:type="dxa"/>
            <w:vMerge/>
          </w:tcPr>
          <w:p w:rsidR="00DF5CA8" w:rsidRDefault="00DF5CA8" w:rsidP="001449DC">
            <w:pPr>
              <w:autoSpaceDE w:val="0"/>
              <w:autoSpaceDN w:val="0"/>
              <w:adjustRightInd w:val="0"/>
              <w:spacing w:after="100" w:line="201" w:lineRule="atLeast"/>
              <w:jc w:val="right"/>
              <w:rPr>
                <w:rFonts w:ascii="Century Gothic" w:hAnsi="Century Gothic" w:cs="Century Gothic"/>
                <w:color w:val="000000"/>
                <w:sz w:val="24"/>
                <w:szCs w:val="24"/>
              </w:rPr>
            </w:pPr>
          </w:p>
        </w:tc>
        <w:tc>
          <w:tcPr>
            <w:tcW w:w="1598" w:type="dxa"/>
          </w:tcPr>
          <w:p w:rsidR="00DF5CA8" w:rsidRDefault="00DF5CA8" w:rsidP="003D7DA0">
            <w:pPr>
              <w:autoSpaceDE w:val="0"/>
              <w:autoSpaceDN w:val="0"/>
              <w:adjustRightInd w:val="0"/>
              <w:spacing w:after="100" w:line="201" w:lineRule="atLeast"/>
              <w:jc w:val="right"/>
              <w:rPr>
                <w:rFonts w:ascii="Century Gothic" w:hAnsi="Century Gothic" w:cs="Century Gothic"/>
                <w:color w:val="000000"/>
                <w:sz w:val="24"/>
                <w:szCs w:val="24"/>
              </w:rPr>
            </w:pPr>
            <w:r>
              <w:rPr>
                <w:rFonts w:ascii="Century Gothic" w:hAnsi="Century Gothic" w:cs="Century Gothic"/>
                <w:color w:val="000000"/>
                <w:sz w:val="24"/>
                <w:szCs w:val="24"/>
              </w:rPr>
              <w:t xml:space="preserve">  22,500</w:t>
            </w:r>
          </w:p>
        </w:tc>
        <w:tc>
          <w:tcPr>
            <w:tcW w:w="3998" w:type="dxa"/>
            <w:vMerge/>
            <w:shd w:val="clear" w:color="auto" w:fill="FFFFFF" w:themeFill="background1"/>
          </w:tcPr>
          <w:p w:rsidR="00DF5CA8" w:rsidRPr="00B53903" w:rsidRDefault="00DF5CA8" w:rsidP="001449DC">
            <w:pPr>
              <w:autoSpaceDE w:val="0"/>
              <w:autoSpaceDN w:val="0"/>
              <w:adjustRightInd w:val="0"/>
              <w:spacing w:after="100" w:line="201" w:lineRule="atLeast"/>
              <w:jc w:val="both"/>
              <w:rPr>
                <w:rFonts w:ascii="Century Gothic" w:hAnsi="Century Gothic" w:cs="Century Gothic"/>
                <w:color w:val="000000"/>
                <w:sz w:val="24"/>
                <w:szCs w:val="24"/>
              </w:rPr>
            </w:pPr>
          </w:p>
        </w:tc>
      </w:tr>
    </w:tbl>
    <w:p w:rsidR="00DF5CA8" w:rsidRDefault="00DF5CA8" w:rsidP="00DF5CA8"/>
    <w:p w:rsidR="00C8270D" w:rsidRPr="00C8270D" w:rsidRDefault="00C8270D" w:rsidP="00C8270D">
      <w:pPr>
        <w:pStyle w:val="Pa46"/>
        <w:spacing w:after="100"/>
        <w:jc w:val="both"/>
        <w:rPr>
          <w:rFonts w:asciiTheme="minorHAnsi" w:hAnsiTheme="minorHAnsi"/>
          <w:u w:val="single"/>
        </w:rPr>
      </w:pPr>
      <w:r w:rsidRPr="00C8270D">
        <w:rPr>
          <w:rFonts w:asciiTheme="minorHAnsi" w:hAnsiTheme="minorHAnsi"/>
          <w:u w:val="single"/>
        </w:rPr>
        <w:lastRenderedPageBreak/>
        <w:t>(</w:t>
      </w:r>
      <w:r w:rsidRPr="003D7DA0">
        <w:rPr>
          <w:rFonts w:asciiTheme="minorHAnsi" w:hAnsiTheme="minorHAnsi"/>
          <w:b/>
          <w:u w:val="single"/>
        </w:rPr>
        <w:t>1)Working note: Valuation of Building</w:t>
      </w:r>
      <w:r w:rsidRPr="00C8270D">
        <w:rPr>
          <w:rFonts w:asciiTheme="minorHAnsi" w:hAnsiTheme="minorHAnsi"/>
          <w:u w:val="single"/>
        </w:rPr>
        <w:t>:</w:t>
      </w:r>
    </w:p>
    <w:p w:rsidR="00C8270D" w:rsidRPr="00C8270D" w:rsidRDefault="00C8270D" w:rsidP="00C8270D">
      <w:pPr>
        <w:pStyle w:val="Pa46"/>
        <w:spacing w:after="100"/>
        <w:jc w:val="both"/>
        <w:rPr>
          <w:rFonts w:asciiTheme="minorHAnsi" w:hAnsiTheme="minorHAnsi"/>
        </w:rPr>
      </w:pPr>
      <w:r>
        <w:t>Net Maintainable rent(NMR) = 1,00,000</w:t>
      </w:r>
    </w:p>
    <w:p w:rsidR="009825F0" w:rsidRPr="007C47C0" w:rsidRDefault="009825F0" w:rsidP="009825F0">
      <w:pPr>
        <w:pStyle w:val="Pa46"/>
        <w:spacing w:after="100"/>
        <w:jc w:val="both"/>
        <w:rPr>
          <w:rFonts w:cs="Century Gothic"/>
          <w:color w:val="000000"/>
        </w:rPr>
      </w:pPr>
      <w:r w:rsidRPr="007C47C0">
        <w:rPr>
          <w:rFonts w:cs="Century Gothic"/>
          <w:color w:val="000000"/>
        </w:rPr>
        <w:t xml:space="preserve">Capitalized Value of NMR=NMR×12.5 (Owner of the land) = </w:t>
      </w:r>
      <w:r w:rsidRPr="007C47C0">
        <w:rPr>
          <w:rFonts w:ascii="Rupee Foradian" w:hAnsi="Rupee Foradian" w:cs="Rupee Foradian"/>
          <w:color w:val="000000"/>
        </w:rPr>
        <w:t xml:space="preserve">` </w:t>
      </w:r>
      <w:r w:rsidRPr="007C47C0">
        <w:rPr>
          <w:rFonts w:cs="Century Gothic"/>
          <w:color w:val="000000"/>
        </w:rPr>
        <w:t xml:space="preserve">1,00,000 × 12.5 = </w:t>
      </w:r>
      <w:r w:rsidRPr="007C47C0">
        <w:rPr>
          <w:rFonts w:ascii="Rupee Foradian" w:hAnsi="Rupee Foradian" w:cs="Rupee Foradian"/>
          <w:color w:val="000000"/>
        </w:rPr>
        <w:t>`</w:t>
      </w:r>
      <w:r w:rsidRPr="007C47C0">
        <w:rPr>
          <w:rFonts w:cs="Century Gothic"/>
          <w:color w:val="000000"/>
        </w:rPr>
        <w:t xml:space="preserve">12,50,000 </w:t>
      </w:r>
    </w:p>
    <w:p w:rsidR="009825F0" w:rsidRPr="007C47C0" w:rsidRDefault="009825F0" w:rsidP="009825F0">
      <w:pPr>
        <w:pStyle w:val="Pa46"/>
        <w:spacing w:after="100"/>
        <w:jc w:val="both"/>
        <w:rPr>
          <w:rFonts w:cs="Century Gothic"/>
          <w:color w:val="000000"/>
        </w:rPr>
      </w:pPr>
      <w:r w:rsidRPr="007C47C0">
        <w:rPr>
          <w:rFonts w:cs="Century Gothic"/>
          <w:i/>
          <w:iCs/>
          <w:color w:val="000000"/>
        </w:rPr>
        <w:t xml:space="preserve">Add </w:t>
      </w:r>
      <w:r w:rsidRPr="007C47C0">
        <w:rPr>
          <w:rFonts w:cs="Century Gothic"/>
          <w:color w:val="000000"/>
        </w:rPr>
        <w:t xml:space="preserve">: Premium for excess of unbuilt area (20%) over specified area = 40% of CNMR = </w:t>
      </w:r>
      <w:r w:rsidRPr="007C47C0">
        <w:rPr>
          <w:rFonts w:ascii="Rupee Foradian" w:hAnsi="Rupee Foradian" w:cs="Rupee Foradian"/>
          <w:color w:val="000000"/>
        </w:rPr>
        <w:t xml:space="preserve">` </w:t>
      </w:r>
      <w:r w:rsidRPr="007C47C0">
        <w:rPr>
          <w:rFonts w:cs="Century Gothic"/>
          <w:color w:val="000000"/>
        </w:rPr>
        <w:t xml:space="preserve">5,00,000 </w:t>
      </w:r>
    </w:p>
    <w:p w:rsidR="009825F0" w:rsidRDefault="009825F0" w:rsidP="009825F0">
      <w:pPr>
        <w:autoSpaceDE w:val="0"/>
        <w:autoSpaceDN w:val="0"/>
        <w:adjustRightInd w:val="0"/>
        <w:spacing w:before="100" w:after="100" w:line="221" w:lineRule="atLeast"/>
        <w:ind w:left="360" w:hanging="360"/>
        <w:jc w:val="both"/>
        <w:rPr>
          <w:rFonts w:cs="Century Gothic"/>
          <w:b/>
          <w:bCs/>
          <w:color w:val="000000"/>
          <w:sz w:val="24"/>
          <w:szCs w:val="24"/>
        </w:rPr>
      </w:pPr>
      <w:r w:rsidRPr="007C47C0">
        <w:rPr>
          <w:rFonts w:cs="Century Gothic"/>
          <w:b/>
          <w:bCs/>
          <w:color w:val="000000"/>
          <w:sz w:val="24"/>
          <w:szCs w:val="24"/>
        </w:rPr>
        <w:t xml:space="preserve">VALUE OF THE HOUSE </w:t>
      </w:r>
      <w:r w:rsidRPr="007C47C0">
        <w:rPr>
          <w:rFonts w:ascii="Rupee Foradian" w:hAnsi="Rupee Foradian" w:cs="Rupee Foradian"/>
          <w:color w:val="000000"/>
          <w:sz w:val="24"/>
          <w:szCs w:val="24"/>
        </w:rPr>
        <w:t xml:space="preserve">` </w:t>
      </w:r>
      <w:r w:rsidRPr="007C47C0">
        <w:rPr>
          <w:rFonts w:cs="Century Gothic"/>
          <w:b/>
          <w:bCs/>
          <w:color w:val="000000"/>
          <w:sz w:val="24"/>
          <w:szCs w:val="24"/>
        </w:rPr>
        <w:t>17</w:t>
      </w:r>
      <w:r w:rsidR="00C8270D" w:rsidRPr="007C47C0">
        <w:rPr>
          <w:rFonts w:cs="Century Gothic"/>
          <w:b/>
          <w:bCs/>
          <w:color w:val="000000"/>
          <w:sz w:val="24"/>
          <w:szCs w:val="24"/>
        </w:rPr>
        <w:t>, 50,000</w:t>
      </w:r>
    </w:p>
    <w:p w:rsidR="00C8270D" w:rsidRDefault="00C8270D" w:rsidP="009825F0">
      <w:pPr>
        <w:autoSpaceDE w:val="0"/>
        <w:autoSpaceDN w:val="0"/>
        <w:adjustRightInd w:val="0"/>
        <w:spacing w:before="100" w:after="100" w:line="221" w:lineRule="atLeast"/>
        <w:ind w:left="360" w:hanging="360"/>
        <w:jc w:val="both"/>
        <w:rPr>
          <w:rFonts w:cs="Century Gothic"/>
          <w:b/>
          <w:bCs/>
          <w:color w:val="000000"/>
          <w:sz w:val="24"/>
          <w:szCs w:val="24"/>
        </w:rPr>
      </w:pPr>
    </w:p>
    <w:p w:rsidR="003D7DA0" w:rsidRDefault="003D7DA0" w:rsidP="00C8270D">
      <w:pPr>
        <w:autoSpaceDE w:val="0"/>
        <w:autoSpaceDN w:val="0"/>
        <w:adjustRightInd w:val="0"/>
        <w:spacing w:after="0" w:line="240" w:lineRule="auto"/>
        <w:rPr>
          <w:rFonts w:ascii="TTFF4A0518t00" w:hAnsi="TTFF4A0518t00" w:cs="TTFF4A0518t00"/>
          <w:color w:val="FF0000"/>
          <w:sz w:val="28"/>
          <w:szCs w:val="28"/>
        </w:rPr>
      </w:pPr>
    </w:p>
    <w:p w:rsidR="00C8270D" w:rsidRPr="007E37D9" w:rsidRDefault="00C8270D" w:rsidP="00C8270D">
      <w:pPr>
        <w:autoSpaceDE w:val="0"/>
        <w:autoSpaceDN w:val="0"/>
        <w:adjustRightInd w:val="0"/>
        <w:spacing w:after="0" w:line="240" w:lineRule="auto"/>
        <w:rPr>
          <w:rFonts w:ascii="TTFF4A0518t00" w:hAnsi="TTFF4A0518t00" w:cs="TTFF4A0518t00"/>
          <w:b/>
          <w:i/>
          <w:color w:val="00B050"/>
          <w:sz w:val="24"/>
          <w:szCs w:val="24"/>
          <w:u w:val="single"/>
        </w:rPr>
      </w:pPr>
      <w:r w:rsidRPr="007E37D9">
        <w:rPr>
          <w:rFonts w:ascii="TTFF4A0518t00" w:hAnsi="TTFF4A0518t00" w:cs="TTFF4A0518t00"/>
          <w:b/>
          <w:i/>
          <w:color w:val="00B050"/>
          <w:sz w:val="24"/>
          <w:szCs w:val="24"/>
          <w:u w:val="single"/>
        </w:rPr>
        <w:t>Case Study 5</w:t>
      </w:r>
      <w:r w:rsidR="007E37D9">
        <w:rPr>
          <w:rFonts w:ascii="TTFF4A0518t00" w:hAnsi="TTFF4A0518t00" w:cs="TTFF4A0518t00"/>
          <w:b/>
          <w:i/>
          <w:color w:val="00B050"/>
          <w:sz w:val="24"/>
          <w:szCs w:val="24"/>
          <w:u w:val="single"/>
        </w:rPr>
        <w:t>:-</w:t>
      </w:r>
    </w:p>
    <w:p w:rsidR="00C8270D" w:rsidRPr="003D7DA0" w:rsidRDefault="00C8270D" w:rsidP="00C8270D">
      <w:pPr>
        <w:autoSpaceDE w:val="0"/>
        <w:autoSpaceDN w:val="0"/>
        <w:adjustRightInd w:val="0"/>
        <w:spacing w:after="0" w:line="240" w:lineRule="auto"/>
        <w:rPr>
          <w:rFonts w:ascii="TTFF4A0518t00" w:hAnsi="TTFF4A0518t00" w:cs="TTFF4A0518t00"/>
          <w:color w:val="FF0000"/>
          <w:sz w:val="24"/>
          <w:szCs w:val="24"/>
        </w:rPr>
      </w:pPr>
    </w:p>
    <w:p w:rsidR="00C8270D" w:rsidRPr="003D7DA0" w:rsidRDefault="00C8270D" w:rsidP="00C8270D">
      <w:pPr>
        <w:autoSpaceDE w:val="0"/>
        <w:autoSpaceDN w:val="0"/>
        <w:adjustRightInd w:val="0"/>
        <w:spacing w:after="0" w:line="240" w:lineRule="auto"/>
        <w:rPr>
          <w:rFonts w:ascii="TTFF4A0518t00" w:hAnsi="TTFF4A0518t00" w:cs="TTFF4A0518t00"/>
          <w:color w:val="000000"/>
          <w:sz w:val="24"/>
          <w:szCs w:val="24"/>
        </w:rPr>
      </w:pPr>
      <w:r w:rsidRPr="003D7DA0">
        <w:rPr>
          <w:rFonts w:ascii="TTFF4A0518t00" w:hAnsi="TTFF4A0518t00" w:cs="TTFF4A0518t00"/>
          <w:color w:val="000000"/>
          <w:sz w:val="24"/>
          <w:szCs w:val="24"/>
        </w:rPr>
        <w:t>Is a person having income below taxable limit, required to furnish his PAN to the deductor as per the provisions of section 206AA, even though he is not required to hold a PAN as per the provisions of section 139A?</w:t>
      </w:r>
    </w:p>
    <w:p w:rsidR="00C8270D" w:rsidRPr="0098646D" w:rsidRDefault="00C8270D" w:rsidP="00C8270D">
      <w:pPr>
        <w:pStyle w:val="Pa73"/>
        <w:spacing w:after="100"/>
        <w:jc w:val="both"/>
        <w:rPr>
          <w:rFonts w:cs="Century Gothic"/>
          <w:b/>
          <w:bCs/>
          <w:color w:val="000000"/>
          <w:sz w:val="28"/>
          <w:szCs w:val="28"/>
        </w:rPr>
      </w:pPr>
    </w:p>
    <w:p w:rsidR="00C8270D" w:rsidRPr="001168BE" w:rsidRDefault="00C8270D" w:rsidP="00C8270D">
      <w:pPr>
        <w:pStyle w:val="Pa73"/>
        <w:spacing w:after="100"/>
        <w:jc w:val="both"/>
        <w:rPr>
          <w:rFonts w:cs="Century Gothic"/>
          <w:b/>
          <w:bCs/>
          <w:i/>
          <w:color w:val="00B050"/>
          <w:sz w:val="22"/>
          <w:szCs w:val="22"/>
          <w:u w:val="single"/>
        </w:rPr>
      </w:pPr>
      <w:r w:rsidRPr="001168BE">
        <w:rPr>
          <w:rFonts w:cs="Century Gothic"/>
          <w:b/>
          <w:bCs/>
          <w:i/>
          <w:color w:val="00B050"/>
          <w:sz w:val="22"/>
          <w:szCs w:val="22"/>
          <w:u w:val="single"/>
        </w:rPr>
        <w:t>Answer:</w:t>
      </w:r>
      <w:r w:rsidR="001168BE" w:rsidRPr="001168BE">
        <w:rPr>
          <w:rFonts w:cs="Century Gothic"/>
          <w:b/>
          <w:bCs/>
          <w:i/>
          <w:color w:val="00B050"/>
          <w:sz w:val="22"/>
          <w:szCs w:val="22"/>
          <w:u w:val="single"/>
        </w:rPr>
        <w:t>-</w:t>
      </w:r>
    </w:p>
    <w:p w:rsidR="006A24D1" w:rsidRPr="006A24D1" w:rsidRDefault="00C8270D" w:rsidP="0098646D">
      <w:pPr>
        <w:autoSpaceDE w:val="0"/>
        <w:autoSpaceDN w:val="0"/>
        <w:adjustRightInd w:val="0"/>
        <w:spacing w:after="100" w:line="221" w:lineRule="atLeast"/>
        <w:jc w:val="both"/>
        <w:rPr>
          <w:rFonts w:ascii="Century Gothic" w:hAnsi="Century Gothic" w:cs="Century Gothic"/>
          <w:color w:val="000000"/>
          <w:sz w:val="24"/>
          <w:szCs w:val="24"/>
        </w:rPr>
      </w:pPr>
      <w:r w:rsidRPr="00C8270D">
        <w:rPr>
          <w:rFonts w:ascii="Century Gothic" w:hAnsi="Century Gothic" w:cs="Century Gothic"/>
          <w:bCs/>
          <w:color w:val="000000"/>
          <w:sz w:val="24"/>
          <w:szCs w:val="24"/>
        </w:rPr>
        <w:t>Inthe</w:t>
      </w:r>
      <w:r>
        <w:rPr>
          <w:rFonts w:ascii="Century Gothic" w:hAnsi="Century Gothic" w:cs="Century Gothic"/>
          <w:bCs/>
          <w:color w:val="000000"/>
          <w:sz w:val="24"/>
          <w:szCs w:val="24"/>
        </w:rPr>
        <w:t xml:space="preserve"> case of </w:t>
      </w:r>
      <w:r w:rsidR="006A24D1" w:rsidRPr="00C8270D">
        <w:rPr>
          <w:rFonts w:ascii="Century Gothic" w:hAnsi="Century Gothic" w:cs="Century Gothic"/>
          <w:b/>
          <w:bCs/>
          <w:color w:val="000000"/>
          <w:sz w:val="24"/>
          <w:szCs w:val="24"/>
          <w:u w:val="single"/>
        </w:rPr>
        <w:t>SMt. A. KowsalyaBai vs. UOI</w:t>
      </w:r>
      <w:r>
        <w:rPr>
          <w:rFonts w:ascii="Century Gothic" w:hAnsi="Century Gothic" w:cs="Century Gothic"/>
          <w:b/>
          <w:bCs/>
          <w:color w:val="000000"/>
          <w:sz w:val="24"/>
          <w:szCs w:val="24"/>
        </w:rPr>
        <w:t xml:space="preserve">, </w:t>
      </w:r>
      <w:r>
        <w:rPr>
          <w:rFonts w:ascii="Century Gothic" w:hAnsi="Century Gothic" w:cs="Century Gothic"/>
          <w:bCs/>
          <w:color w:val="000000"/>
          <w:sz w:val="24"/>
          <w:szCs w:val="24"/>
        </w:rPr>
        <w:t>it was decided that</w:t>
      </w:r>
      <w:r>
        <w:rPr>
          <w:rFonts w:ascii="Century Gothic" w:hAnsi="Century Gothic" w:cs="Century Gothic"/>
          <w:color w:val="000000"/>
          <w:sz w:val="24"/>
          <w:szCs w:val="24"/>
        </w:rPr>
        <w:t xml:space="preserve"> a</w:t>
      </w:r>
      <w:r w:rsidR="006A24D1" w:rsidRPr="007C47C0">
        <w:rPr>
          <w:rFonts w:ascii="Century Gothic" w:hAnsi="Century Gothic" w:cs="Century Gothic"/>
          <w:color w:val="000000"/>
          <w:sz w:val="24"/>
          <w:szCs w:val="24"/>
        </w:rPr>
        <w:t xml:space="preserve">s per the provisions of section </w:t>
      </w:r>
      <w:r w:rsidR="0098646D">
        <w:rPr>
          <w:rFonts w:ascii="Century Gothic" w:hAnsi="Century Gothic" w:cs="Century Gothic"/>
          <w:color w:val="000000"/>
          <w:sz w:val="24"/>
          <w:szCs w:val="24"/>
        </w:rPr>
        <w:t>1</w:t>
      </w:r>
      <w:r w:rsidR="006A24D1" w:rsidRPr="007C47C0">
        <w:rPr>
          <w:rFonts w:ascii="Century Gothic" w:hAnsi="Century Gothic" w:cs="Century Gothic"/>
          <w:color w:val="000000"/>
          <w:sz w:val="24"/>
          <w:szCs w:val="24"/>
        </w:rPr>
        <w:t xml:space="preserve">39A, inter alia, a person whose total income does not exceed the maximum amount not chargeable to income-tax is not required to apply to the Assessing Officer for the allotment of a permanent account number (PAN). </w:t>
      </w:r>
    </w:p>
    <w:p w:rsidR="001753A0" w:rsidRPr="00FF0AEC" w:rsidRDefault="006A24D1" w:rsidP="00FF0AEC">
      <w:pPr>
        <w:autoSpaceDE w:val="0"/>
        <w:autoSpaceDN w:val="0"/>
        <w:adjustRightInd w:val="0"/>
        <w:spacing w:after="100" w:line="221" w:lineRule="atLeast"/>
        <w:jc w:val="both"/>
        <w:rPr>
          <w:rFonts w:ascii="Century Gothic" w:hAnsi="Century Gothic" w:cs="Century Gothic"/>
          <w:color w:val="000000"/>
          <w:sz w:val="24"/>
          <w:szCs w:val="24"/>
        </w:rPr>
      </w:pPr>
      <w:r w:rsidRPr="007C47C0">
        <w:rPr>
          <w:rFonts w:ascii="Century Gothic" w:hAnsi="Century Gothic" w:cs="Century Gothic"/>
          <w:color w:val="000000"/>
          <w:sz w:val="24"/>
          <w:szCs w:val="24"/>
        </w:rPr>
        <w:t>However, as per the provisions of section 206AA, notwithstanding anything contained in any other provision of this Act, any person who is entitled to receive any sum or income or amount on which tax is deductible under Chapter XVII-B, i.e., the deductee shall furnish his PAN to the deductor, otherwise tax shall be deducted as per the provisions section 206AA, which is normally higher. It is mandatory for an assessee to furnish his PAN, despite filing Form 15G as required under section 197A, to seek exemption from deduction of tax.</w:t>
      </w:r>
    </w:p>
    <w:p w:rsidR="0098646D" w:rsidRPr="006A24D1" w:rsidRDefault="0098646D" w:rsidP="0098646D">
      <w:pPr>
        <w:pageBreakBefore/>
        <w:autoSpaceDE w:val="0"/>
        <w:autoSpaceDN w:val="0"/>
        <w:adjustRightInd w:val="0"/>
        <w:spacing w:after="100" w:line="221" w:lineRule="atLeast"/>
        <w:jc w:val="both"/>
        <w:rPr>
          <w:rFonts w:ascii="Century Gothic" w:hAnsi="Century Gothic" w:cs="Century Gothic"/>
          <w:color w:val="000000"/>
          <w:sz w:val="24"/>
          <w:szCs w:val="24"/>
        </w:rPr>
      </w:pPr>
      <w:r w:rsidRPr="007C47C0">
        <w:rPr>
          <w:rFonts w:ascii="Century Gothic" w:hAnsi="Century Gothic" w:cs="Century Gothic"/>
          <w:color w:val="000000"/>
          <w:sz w:val="24"/>
          <w:szCs w:val="24"/>
        </w:rPr>
        <w:lastRenderedPageBreak/>
        <w:t xml:space="preserve">The provisions of section 139A are contradictory to section 197A, due to the fact that assessees whose income was less than the maximum amount not chargeable to income-tax, were not required to hold PAN, whereas their declaration furnished under section 197A was not accepted by the bank or financial institution unless PAN was communicated as per the provisions of section 206AA. The provisions of section 206AA creates inconvenience to small investors, who invest their savings from earnings as security for their future, since, in the absence of PAN, tax was deducted at source at a higher rate. </w:t>
      </w:r>
    </w:p>
    <w:p w:rsidR="0098646D" w:rsidRPr="00060B11" w:rsidRDefault="0098646D" w:rsidP="0098646D">
      <w:pPr>
        <w:autoSpaceDE w:val="0"/>
        <w:autoSpaceDN w:val="0"/>
        <w:adjustRightInd w:val="0"/>
        <w:spacing w:after="100" w:line="221" w:lineRule="atLeast"/>
        <w:jc w:val="both"/>
        <w:rPr>
          <w:rFonts w:ascii="Century Gothic" w:hAnsi="Century Gothic" w:cs="Century Gothic"/>
          <w:color w:val="000000"/>
          <w:sz w:val="24"/>
          <w:szCs w:val="24"/>
        </w:rPr>
      </w:pPr>
      <w:r w:rsidRPr="007C47C0">
        <w:rPr>
          <w:rFonts w:ascii="Century Gothic" w:hAnsi="Century Gothic" w:cs="Century Gothic"/>
          <w:color w:val="000000"/>
          <w:sz w:val="24"/>
          <w:szCs w:val="24"/>
        </w:rPr>
        <w:t>In order to avoid undue hardship caused to such persons</w:t>
      </w:r>
      <w:r w:rsidRPr="00060B11">
        <w:rPr>
          <w:rFonts w:ascii="Century Gothic" w:hAnsi="Century Gothic" w:cs="Century Gothic"/>
          <w:b/>
          <w:color w:val="000000"/>
          <w:sz w:val="24"/>
          <w:szCs w:val="24"/>
        </w:rPr>
        <w:t>, the Karnataka High Court, in the present case, held that it may not be necessary for such persons whose income is below the maximum amount not chargeable to income-tax to obtain PAN and in view of the specific provision of section 139A, section 206AA is not applicable to such persons.</w:t>
      </w:r>
      <w:r w:rsidRPr="00060B11">
        <w:rPr>
          <w:rFonts w:ascii="Century Gothic" w:hAnsi="Century Gothic" w:cs="Century Gothic"/>
          <w:color w:val="000000"/>
          <w:sz w:val="24"/>
          <w:szCs w:val="24"/>
        </w:rPr>
        <w:t xml:space="preserve">Therefore, the banking and financial institutions shall not insist upon such persons to furnish PAN while filing declaration under section 197A. However, section 206AA would continue to be applicable to persons whose income is above the maximum amount not chargeable to income-tax. </w:t>
      </w:r>
    </w:p>
    <w:p w:rsidR="0098646D" w:rsidRPr="007C47C0" w:rsidRDefault="0098646D" w:rsidP="0098646D">
      <w:pPr>
        <w:autoSpaceDE w:val="0"/>
        <w:autoSpaceDN w:val="0"/>
        <w:adjustRightInd w:val="0"/>
        <w:spacing w:after="100" w:line="221" w:lineRule="atLeast"/>
        <w:jc w:val="both"/>
        <w:rPr>
          <w:rFonts w:ascii="Century Gothic" w:hAnsi="Century Gothic" w:cs="Century Gothic"/>
          <w:color w:val="000000"/>
          <w:sz w:val="24"/>
          <w:szCs w:val="24"/>
        </w:rPr>
      </w:pPr>
    </w:p>
    <w:sectPr w:rsidR="0098646D" w:rsidRPr="007C47C0" w:rsidSect="00DE6E9B">
      <w:head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6D2B" w:rsidRDefault="00336D2B" w:rsidP="000F2783">
      <w:pPr>
        <w:spacing w:after="0" w:line="240" w:lineRule="auto"/>
      </w:pPr>
      <w:r>
        <w:separator/>
      </w:r>
    </w:p>
  </w:endnote>
  <w:endnote w:type="continuationSeparator" w:id="1">
    <w:p w:rsidR="00336D2B" w:rsidRDefault="00336D2B" w:rsidP="000F27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TTFF4A0518t00">
    <w:panose1 w:val="00000000000000000000"/>
    <w:charset w:val="00"/>
    <w:family w:val="auto"/>
    <w:notTrueType/>
    <w:pitch w:val="default"/>
    <w:sig w:usb0="00000003" w:usb1="00000000" w:usb2="00000000" w:usb3="00000000" w:csb0="00000001" w:csb1="00000000"/>
  </w:font>
  <w:font w:name="TTFF554D28t00">
    <w:panose1 w:val="00000000000000000000"/>
    <w:charset w:val="00"/>
    <w:family w:val="auto"/>
    <w:notTrueType/>
    <w:pitch w:val="default"/>
    <w:sig w:usb0="00000003" w:usb1="00000000" w:usb2="00000000" w:usb3="00000000" w:csb0="00000001" w:csb1="00000000"/>
  </w:font>
  <w:font w:name="Rupee">
    <w:altName w:val="Rupee"/>
    <w:panose1 w:val="00000000000000000000"/>
    <w:charset w:val="00"/>
    <w:family w:val="swiss"/>
    <w:notTrueType/>
    <w:pitch w:val="default"/>
    <w:sig w:usb0="00000003" w:usb1="00000000" w:usb2="00000000" w:usb3="00000000" w:csb0="00000001" w:csb1="00000000"/>
  </w:font>
  <w:font w:name="Rupee Foradian">
    <w:altName w:val="Rupee Foradi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6D2B" w:rsidRDefault="00336D2B" w:rsidP="000F2783">
      <w:pPr>
        <w:spacing w:after="0" w:line="240" w:lineRule="auto"/>
      </w:pPr>
      <w:r>
        <w:separator/>
      </w:r>
    </w:p>
  </w:footnote>
  <w:footnote w:type="continuationSeparator" w:id="1">
    <w:p w:rsidR="00336D2B" w:rsidRDefault="00336D2B" w:rsidP="000F27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6EFF" w:rsidRDefault="005B6EFF">
    <w:pPr>
      <w:pStyle w:val="Header"/>
    </w:pPr>
    <w:r>
      <w:t>OBULA REDDY .M</w:t>
    </w:r>
  </w:p>
  <w:p w:rsidR="005B6EFF" w:rsidRDefault="005B6EFF">
    <w:pPr>
      <w:pStyle w:val="Header"/>
    </w:pPr>
    <w:r>
      <w:t>Reg.No.02122013836</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A24D1"/>
    <w:rsid w:val="00032810"/>
    <w:rsid w:val="0003611C"/>
    <w:rsid w:val="00060B11"/>
    <w:rsid w:val="000F2783"/>
    <w:rsid w:val="00115224"/>
    <w:rsid w:val="001168BE"/>
    <w:rsid w:val="001753A0"/>
    <w:rsid w:val="001F3574"/>
    <w:rsid w:val="00205001"/>
    <w:rsid w:val="00307BAB"/>
    <w:rsid w:val="00336D2B"/>
    <w:rsid w:val="003D7DA0"/>
    <w:rsid w:val="0043545F"/>
    <w:rsid w:val="00490550"/>
    <w:rsid w:val="00544C6D"/>
    <w:rsid w:val="0055270E"/>
    <w:rsid w:val="005B6EFF"/>
    <w:rsid w:val="006951A8"/>
    <w:rsid w:val="006A07F1"/>
    <w:rsid w:val="006A24D1"/>
    <w:rsid w:val="007579D9"/>
    <w:rsid w:val="007C47C0"/>
    <w:rsid w:val="007E37D9"/>
    <w:rsid w:val="00907140"/>
    <w:rsid w:val="009449DA"/>
    <w:rsid w:val="009825F0"/>
    <w:rsid w:val="0098646D"/>
    <w:rsid w:val="00A02C22"/>
    <w:rsid w:val="00A84070"/>
    <w:rsid w:val="00AF2F41"/>
    <w:rsid w:val="00AF49B5"/>
    <w:rsid w:val="00B53903"/>
    <w:rsid w:val="00B5474D"/>
    <w:rsid w:val="00B57109"/>
    <w:rsid w:val="00BF2972"/>
    <w:rsid w:val="00C05DE9"/>
    <w:rsid w:val="00C7335C"/>
    <w:rsid w:val="00C8270D"/>
    <w:rsid w:val="00CB56FA"/>
    <w:rsid w:val="00DD65CA"/>
    <w:rsid w:val="00DE6E9B"/>
    <w:rsid w:val="00DF5CA8"/>
    <w:rsid w:val="00F12349"/>
    <w:rsid w:val="00F22F0D"/>
    <w:rsid w:val="00F34141"/>
    <w:rsid w:val="00F43C36"/>
    <w:rsid w:val="00FF0A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6E9B"/>
  </w:style>
  <w:style w:type="paragraph" w:styleId="Heading1">
    <w:name w:val="heading 1"/>
    <w:basedOn w:val="Normal"/>
    <w:link w:val="Heading1Char"/>
    <w:uiPriority w:val="9"/>
    <w:qFormat/>
    <w:rsid w:val="0055270E"/>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102">
    <w:name w:val="Pa10+2"/>
    <w:basedOn w:val="Normal"/>
    <w:next w:val="Normal"/>
    <w:uiPriority w:val="99"/>
    <w:rsid w:val="006A24D1"/>
    <w:pPr>
      <w:autoSpaceDE w:val="0"/>
      <w:autoSpaceDN w:val="0"/>
      <w:adjustRightInd w:val="0"/>
      <w:spacing w:after="0" w:line="201" w:lineRule="atLeast"/>
    </w:pPr>
    <w:rPr>
      <w:rFonts w:ascii="Century Gothic" w:hAnsi="Century Gothic"/>
      <w:sz w:val="24"/>
      <w:szCs w:val="24"/>
    </w:rPr>
  </w:style>
  <w:style w:type="paragraph" w:customStyle="1" w:styleId="Pa73">
    <w:name w:val="Pa7+3"/>
    <w:basedOn w:val="Normal"/>
    <w:next w:val="Normal"/>
    <w:uiPriority w:val="99"/>
    <w:rsid w:val="006A24D1"/>
    <w:pPr>
      <w:autoSpaceDE w:val="0"/>
      <w:autoSpaceDN w:val="0"/>
      <w:adjustRightInd w:val="0"/>
      <w:spacing w:after="0" w:line="201" w:lineRule="atLeast"/>
    </w:pPr>
    <w:rPr>
      <w:rFonts w:ascii="Century Gothic" w:hAnsi="Century Gothic"/>
      <w:sz w:val="24"/>
      <w:szCs w:val="24"/>
    </w:rPr>
  </w:style>
  <w:style w:type="paragraph" w:customStyle="1" w:styleId="Pa65">
    <w:name w:val="Pa65"/>
    <w:basedOn w:val="Normal"/>
    <w:next w:val="Normal"/>
    <w:uiPriority w:val="99"/>
    <w:rsid w:val="006A24D1"/>
    <w:pPr>
      <w:autoSpaceDE w:val="0"/>
      <w:autoSpaceDN w:val="0"/>
      <w:adjustRightInd w:val="0"/>
      <w:spacing w:after="0" w:line="201" w:lineRule="atLeast"/>
    </w:pPr>
    <w:rPr>
      <w:rFonts w:ascii="Century Gothic" w:hAnsi="Century Gothic"/>
      <w:sz w:val="24"/>
      <w:szCs w:val="24"/>
    </w:rPr>
  </w:style>
  <w:style w:type="paragraph" w:customStyle="1" w:styleId="Pa132">
    <w:name w:val="Pa13+2"/>
    <w:basedOn w:val="Normal"/>
    <w:next w:val="Normal"/>
    <w:uiPriority w:val="99"/>
    <w:rsid w:val="006A24D1"/>
    <w:pPr>
      <w:autoSpaceDE w:val="0"/>
      <w:autoSpaceDN w:val="0"/>
      <w:adjustRightInd w:val="0"/>
      <w:spacing w:after="0" w:line="201" w:lineRule="atLeast"/>
    </w:pPr>
    <w:rPr>
      <w:rFonts w:ascii="Century Gothic" w:hAnsi="Century Gothic"/>
      <w:sz w:val="24"/>
      <w:szCs w:val="24"/>
    </w:rPr>
  </w:style>
  <w:style w:type="paragraph" w:customStyle="1" w:styleId="Pa661">
    <w:name w:val="Pa66+1"/>
    <w:basedOn w:val="Normal"/>
    <w:next w:val="Normal"/>
    <w:uiPriority w:val="99"/>
    <w:rsid w:val="006A24D1"/>
    <w:pPr>
      <w:autoSpaceDE w:val="0"/>
      <w:autoSpaceDN w:val="0"/>
      <w:adjustRightInd w:val="0"/>
      <w:spacing w:after="0" w:line="201" w:lineRule="atLeast"/>
    </w:pPr>
    <w:rPr>
      <w:rFonts w:ascii="Century Gothic" w:hAnsi="Century Gothic"/>
      <w:sz w:val="24"/>
      <w:szCs w:val="24"/>
    </w:rPr>
  </w:style>
  <w:style w:type="character" w:customStyle="1" w:styleId="A5">
    <w:name w:val="A5"/>
    <w:uiPriority w:val="99"/>
    <w:rsid w:val="006A24D1"/>
    <w:rPr>
      <w:rFonts w:cs="Century Gothic"/>
      <w:color w:val="000000"/>
      <w:sz w:val="20"/>
      <w:szCs w:val="20"/>
      <w:u w:val="single"/>
    </w:rPr>
  </w:style>
  <w:style w:type="paragraph" w:customStyle="1" w:styleId="Pa715">
    <w:name w:val="Pa7++15"/>
    <w:basedOn w:val="Normal"/>
    <w:next w:val="Normal"/>
    <w:uiPriority w:val="99"/>
    <w:rsid w:val="006A24D1"/>
    <w:pPr>
      <w:autoSpaceDE w:val="0"/>
      <w:autoSpaceDN w:val="0"/>
      <w:adjustRightInd w:val="0"/>
      <w:spacing w:after="0" w:line="221" w:lineRule="atLeast"/>
    </w:pPr>
    <w:rPr>
      <w:rFonts w:ascii="Century Gothic" w:hAnsi="Century Gothic"/>
      <w:sz w:val="24"/>
      <w:szCs w:val="24"/>
    </w:rPr>
  </w:style>
  <w:style w:type="character" w:customStyle="1" w:styleId="A33">
    <w:name w:val="A3++3"/>
    <w:uiPriority w:val="99"/>
    <w:rsid w:val="006A24D1"/>
    <w:rPr>
      <w:rFonts w:cs="Century Gothic"/>
      <w:b/>
      <w:bCs/>
      <w:color w:val="000000"/>
      <w:sz w:val="20"/>
      <w:szCs w:val="20"/>
    </w:rPr>
  </w:style>
  <w:style w:type="paragraph" w:customStyle="1" w:styleId="Pa2112">
    <w:name w:val="Pa21++12"/>
    <w:basedOn w:val="Normal"/>
    <w:next w:val="Normal"/>
    <w:uiPriority w:val="99"/>
    <w:rsid w:val="006A24D1"/>
    <w:pPr>
      <w:autoSpaceDE w:val="0"/>
      <w:autoSpaceDN w:val="0"/>
      <w:adjustRightInd w:val="0"/>
      <w:spacing w:after="0" w:line="221" w:lineRule="atLeast"/>
    </w:pPr>
    <w:rPr>
      <w:rFonts w:ascii="Century Gothic" w:hAnsi="Century Gothic"/>
      <w:sz w:val="24"/>
      <w:szCs w:val="24"/>
    </w:rPr>
  </w:style>
  <w:style w:type="paragraph" w:customStyle="1" w:styleId="Pa2012">
    <w:name w:val="Pa20++12"/>
    <w:basedOn w:val="Normal"/>
    <w:next w:val="Normal"/>
    <w:uiPriority w:val="99"/>
    <w:rsid w:val="006A24D1"/>
    <w:pPr>
      <w:autoSpaceDE w:val="0"/>
      <w:autoSpaceDN w:val="0"/>
      <w:adjustRightInd w:val="0"/>
      <w:spacing w:after="0" w:line="221" w:lineRule="atLeast"/>
    </w:pPr>
    <w:rPr>
      <w:rFonts w:ascii="Century Gothic" w:hAnsi="Century Gothic"/>
      <w:sz w:val="24"/>
      <w:szCs w:val="24"/>
    </w:rPr>
  </w:style>
  <w:style w:type="paragraph" w:customStyle="1" w:styleId="Default">
    <w:name w:val="Default"/>
    <w:rsid w:val="00B53903"/>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Pa46">
    <w:name w:val="Pa4+6"/>
    <w:basedOn w:val="Default"/>
    <w:next w:val="Default"/>
    <w:uiPriority w:val="99"/>
    <w:rsid w:val="00B53903"/>
    <w:pPr>
      <w:spacing w:line="201" w:lineRule="atLeast"/>
    </w:pPr>
    <w:rPr>
      <w:rFonts w:cstheme="minorBidi"/>
      <w:color w:val="auto"/>
    </w:rPr>
  </w:style>
  <w:style w:type="paragraph" w:customStyle="1" w:styleId="Pa108">
    <w:name w:val="Pa10++8"/>
    <w:basedOn w:val="Default"/>
    <w:next w:val="Default"/>
    <w:uiPriority w:val="99"/>
    <w:rsid w:val="00B53903"/>
    <w:pPr>
      <w:spacing w:line="201" w:lineRule="atLeast"/>
    </w:pPr>
    <w:rPr>
      <w:rFonts w:cstheme="minorBidi"/>
      <w:color w:val="auto"/>
    </w:rPr>
  </w:style>
  <w:style w:type="paragraph" w:customStyle="1" w:styleId="Pa427">
    <w:name w:val="Pa42+7"/>
    <w:basedOn w:val="Default"/>
    <w:next w:val="Default"/>
    <w:uiPriority w:val="99"/>
    <w:rsid w:val="00B53903"/>
    <w:pPr>
      <w:spacing w:line="201" w:lineRule="atLeast"/>
    </w:pPr>
    <w:rPr>
      <w:rFonts w:cstheme="minorBidi"/>
      <w:color w:val="auto"/>
    </w:rPr>
  </w:style>
  <w:style w:type="paragraph" w:customStyle="1" w:styleId="Pa1032">
    <w:name w:val="Pa103+2"/>
    <w:basedOn w:val="Default"/>
    <w:next w:val="Default"/>
    <w:uiPriority w:val="99"/>
    <w:rsid w:val="00B53903"/>
    <w:pPr>
      <w:spacing w:line="201" w:lineRule="atLeast"/>
    </w:pPr>
    <w:rPr>
      <w:rFonts w:cstheme="minorBidi"/>
      <w:color w:val="auto"/>
    </w:rPr>
  </w:style>
  <w:style w:type="paragraph" w:customStyle="1" w:styleId="Pa872">
    <w:name w:val="Pa87+2"/>
    <w:basedOn w:val="Default"/>
    <w:next w:val="Default"/>
    <w:uiPriority w:val="99"/>
    <w:rsid w:val="00B53903"/>
    <w:pPr>
      <w:spacing w:line="201" w:lineRule="atLeast"/>
    </w:pPr>
    <w:rPr>
      <w:rFonts w:cstheme="minorBidi"/>
      <w:color w:val="auto"/>
    </w:rPr>
  </w:style>
  <w:style w:type="paragraph" w:customStyle="1" w:styleId="Pa466">
    <w:name w:val="Pa46+6"/>
    <w:basedOn w:val="Default"/>
    <w:next w:val="Default"/>
    <w:uiPriority w:val="99"/>
    <w:rsid w:val="00B53903"/>
    <w:pPr>
      <w:spacing w:line="201" w:lineRule="atLeast"/>
    </w:pPr>
    <w:rPr>
      <w:rFonts w:cstheme="minorBidi"/>
      <w:color w:val="auto"/>
    </w:rPr>
  </w:style>
  <w:style w:type="paragraph" w:customStyle="1" w:styleId="Pa922">
    <w:name w:val="Pa92+2"/>
    <w:basedOn w:val="Default"/>
    <w:next w:val="Default"/>
    <w:uiPriority w:val="99"/>
    <w:rsid w:val="00B53903"/>
    <w:pPr>
      <w:spacing w:line="201" w:lineRule="atLeast"/>
    </w:pPr>
    <w:rPr>
      <w:rFonts w:cstheme="minorBidi"/>
      <w:color w:val="auto"/>
    </w:rPr>
  </w:style>
  <w:style w:type="paragraph" w:customStyle="1" w:styleId="Pa843">
    <w:name w:val="Pa84+3"/>
    <w:basedOn w:val="Default"/>
    <w:next w:val="Default"/>
    <w:uiPriority w:val="99"/>
    <w:rsid w:val="00B53903"/>
    <w:pPr>
      <w:spacing w:line="201" w:lineRule="atLeast"/>
    </w:pPr>
    <w:rPr>
      <w:rFonts w:cstheme="minorBidi"/>
      <w:color w:val="auto"/>
    </w:rPr>
  </w:style>
  <w:style w:type="paragraph" w:customStyle="1" w:styleId="Pa118">
    <w:name w:val="Pa11++8"/>
    <w:basedOn w:val="Default"/>
    <w:next w:val="Default"/>
    <w:uiPriority w:val="99"/>
    <w:rsid w:val="00B53903"/>
    <w:pPr>
      <w:spacing w:line="201" w:lineRule="atLeast"/>
    </w:pPr>
    <w:rPr>
      <w:rFonts w:cstheme="minorBidi"/>
      <w:color w:val="auto"/>
    </w:rPr>
  </w:style>
  <w:style w:type="paragraph" w:customStyle="1" w:styleId="Pa785">
    <w:name w:val="Pa78+5"/>
    <w:basedOn w:val="Default"/>
    <w:next w:val="Default"/>
    <w:uiPriority w:val="99"/>
    <w:rsid w:val="00B53903"/>
    <w:pPr>
      <w:spacing w:line="201" w:lineRule="atLeast"/>
    </w:pPr>
    <w:rPr>
      <w:rFonts w:cstheme="minorBidi"/>
      <w:color w:val="auto"/>
    </w:rPr>
  </w:style>
  <w:style w:type="paragraph" w:customStyle="1" w:styleId="Pa96">
    <w:name w:val="Pa9+6"/>
    <w:basedOn w:val="Default"/>
    <w:next w:val="Default"/>
    <w:uiPriority w:val="99"/>
    <w:rsid w:val="00B53903"/>
    <w:pPr>
      <w:spacing w:line="201" w:lineRule="atLeast"/>
    </w:pPr>
    <w:rPr>
      <w:rFonts w:cstheme="minorBidi"/>
      <w:color w:val="auto"/>
    </w:rPr>
  </w:style>
  <w:style w:type="paragraph" w:customStyle="1" w:styleId="Pa754">
    <w:name w:val="Pa75+4"/>
    <w:basedOn w:val="Default"/>
    <w:next w:val="Default"/>
    <w:uiPriority w:val="99"/>
    <w:rsid w:val="00B53903"/>
    <w:pPr>
      <w:spacing w:line="201" w:lineRule="atLeast"/>
    </w:pPr>
    <w:rPr>
      <w:rFonts w:cstheme="minorBidi"/>
      <w:color w:val="auto"/>
    </w:rPr>
  </w:style>
  <w:style w:type="paragraph" w:customStyle="1" w:styleId="Pa229">
    <w:name w:val="Pa22++9"/>
    <w:basedOn w:val="Default"/>
    <w:next w:val="Default"/>
    <w:uiPriority w:val="99"/>
    <w:rsid w:val="00B53903"/>
    <w:pPr>
      <w:spacing w:line="201" w:lineRule="atLeast"/>
    </w:pPr>
    <w:rPr>
      <w:rFonts w:cstheme="minorBidi"/>
      <w:color w:val="auto"/>
    </w:rPr>
  </w:style>
  <w:style w:type="paragraph" w:customStyle="1" w:styleId="Pa2110">
    <w:name w:val="Pa21++10"/>
    <w:basedOn w:val="Default"/>
    <w:next w:val="Default"/>
    <w:uiPriority w:val="99"/>
    <w:rsid w:val="00B53903"/>
    <w:pPr>
      <w:spacing w:line="201" w:lineRule="atLeast"/>
    </w:pPr>
    <w:rPr>
      <w:rFonts w:cstheme="minorBidi"/>
      <w:color w:val="auto"/>
    </w:rPr>
  </w:style>
  <w:style w:type="paragraph" w:customStyle="1" w:styleId="Pa125">
    <w:name w:val="Pa12++5"/>
    <w:basedOn w:val="Default"/>
    <w:next w:val="Default"/>
    <w:uiPriority w:val="99"/>
    <w:rsid w:val="00B53903"/>
    <w:pPr>
      <w:spacing w:line="201" w:lineRule="atLeast"/>
    </w:pPr>
    <w:rPr>
      <w:rFonts w:cstheme="minorBidi"/>
      <w:color w:val="auto"/>
    </w:rPr>
  </w:style>
  <w:style w:type="paragraph" w:customStyle="1" w:styleId="Pa863">
    <w:name w:val="Pa86+3"/>
    <w:basedOn w:val="Default"/>
    <w:next w:val="Default"/>
    <w:uiPriority w:val="99"/>
    <w:rsid w:val="00B53903"/>
    <w:pPr>
      <w:spacing w:line="201" w:lineRule="atLeast"/>
    </w:pPr>
    <w:rPr>
      <w:rFonts w:cstheme="minorBidi"/>
      <w:color w:val="auto"/>
    </w:rPr>
  </w:style>
  <w:style w:type="paragraph" w:styleId="ListParagraph">
    <w:name w:val="List Paragraph"/>
    <w:basedOn w:val="Normal"/>
    <w:uiPriority w:val="34"/>
    <w:qFormat/>
    <w:rsid w:val="009825F0"/>
    <w:pPr>
      <w:ind w:left="720"/>
      <w:contextualSpacing/>
    </w:pPr>
  </w:style>
  <w:style w:type="table" w:styleId="TableGrid">
    <w:name w:val="Table Grid"/>
    <w:basedOn w:val="TableNormal"/>
    <w:uiPriority w:val="59"/>
    <w:rsid w:val="009825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basedOn w:val="TableNormal"/>
    <w:uiPriority w:val="60"/>
    <w:rsid w:val="00F3414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eader">
    <w:name w:val="header"/>
    <w:basedOn w:val="Normal"/>
    <w:link w:val="HeaderChar"/>
    <w:uiPriority w:val="99"/>
    <w:unhideWhenUsed/>
    <w:rsid w:val="000F27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783"/>
  </w:style>
  <w:style w:type="paragraph" w:styleId="Footer">
    <w:name w:val="footer"/>
    <w:basedOn w:val="Normal"/>
    <w:link w:val="FooterChar"/>
    <w:uiPriority w:val="99"/>
    <w:unhideWhenUsed/>
    <w:rsid w:val="000F27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783"/>
  </w:style>
  <w:style w:type="character" w:customStyle="1" w:styleId="Heading1Char">
    <w:name w:val="Heading 1 Char"/>
    <w:basedOn w:val="DefaultParagraphFont"/>
    <w:link w:val="Heading1"/>
    <w:uiPriority w:val="9"/>
    <w:rsid w:val="0055270E"/>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102">
    <w:name w:val="Pa10+2"/>
    <w:basedOn w:val="Normal"/>
    <w:next w:val="Normal"/>
    <w:uiPriority w:val="99"/>
    <w:rsid w:val="006A24D1"/>
    <w:pPr>
      <w:autoSpaceDE w:val="0"/>
      <w:autoSpaceDN w:val="0"/>
      <w:adjustRightInd w:val="0"/>
      <w:spacing w:after="0" w:line="201" w:lineRule="atLeast"/>
    </w:pPr>
    <w:rPr>
      <w:rFonts w:ascii="Century Gothic" w:hAnsi="Century Gothic"/>
      <w:sz w:val="24"/>
      <w:szCs w:val="24"/>
    </w:rPr>
  </w:style>
  <w:style w:type="paragraph" w:customStyle="1" w:styleId="Pa73">
    <w:name w:val="Pa7+3"/>
    <w:basedOn w:val="Normal"/>
    <w:next w:val="Normal"/>
    <w:uiPriority w:val="99"/>
    <w:rsid w:val="006A24D1"/>
    <w:pPr>
      <w:autoSpaceDE w:val="0"/>
      <w:autoSpaceDN w:val="0"/>
      <w:adjustRightInd w:val="0"/>
      <w:spacing w:after="0" w:line="201" w:lineRule="atLeast"/>
    </w:pPr>
    <w:rPr>
      <w:rFonts w:ascii="Century Gothic" w:hAnsi="Century Gothic"/>
      <w:sz w:val="24"/>
      <w:szCs w:val="24"/>
    </w:rPr>
  </w:style>
  <w:style w:type="paragraph" w:customStyle="1" w:styleId="Pa65">
    <w:name w:val="Pa65"/>
    <w:basedOn w:val="Normal"/>
    <w:next w:val="Normal"/>
    <w:uiPriority w:val="99"/>
    <w:rsid w:val="006A24D1"/>
    <w:pPr>
      <w:autoSpaceDE w:val="0"/>
      <w:autoSpaceDN w:val="0"/>
      <w:adjustRightInd w:val="0"/>
      <w:spacing w:after="0" w:line="201" w:lineRule="atLeast"/>
    </w:pPr>
    <w:rPr>
      <w:rFonts w:ascii="Century Gothic" w:hAnsi="Century Gothic"/>
      <w:sz w:val="24"/>
      <w:szCs w:val="24"/>
    </w:rPr>
  </w:style>
  <w:style w:type="paragraph" w:customStyle="1" w:styleId="Pa132">
    <w:name w:val="Pa13+2"/>
    <w:basedOn w:val="Normal"/>
    <w:next w:val="Normal"/>
    <w:uiPriority w:val="99"/>
    <w:rsid w:val="006A24D1"/>
    <w:pPr>
      <w:autoSpaceDE w:val="0"/>
      <w:autoSpaceDN w:val="0"/>
      <w:adjustRightInd w:val="0"/>
      <w:spacing w:after="0" w:line="201" w:lineRule="atLeast"/>
    </w:pPr>
    <w:rPr>
      <w:rFonts w:ascii="Century Gothic" w:hAnsi="Century Gothic"/>
      <w:sz w:val="24"/>
      <w:szCs w:val="24"/>
    </w:rPr>
  </w:style>
  <w:style w:type="paragraph" w:customStyle="1" w:styleId="Pa661">
    <w:name w:val="Pa66+1"/>
    <w:basedOn w:val="Normal"/>
    <w:next w:val="Normal"/>
    <w:uiPriority w:val="99"/>
    <w:rsid w:val="006A24D1"/>
    <w:pPr>
      <w:autoSpaceDE w:val="0"/>
      <w:autoSpaceDN w:val="0"/>
      <w:adjustRightInd w:val="0"/>
      <w:spacing w:after="0" w:line="201" w:lineRule="atLeast"/>
    </w:pPr>
    <w:rPr>
      <w:rFonts w:ascii="Century Gothic" w:hAnsi="Century Gothic"/>
      <w:sz w:val="24"/>
      <w:szCs w:val="24"/>
    </w:rPr>
  </w:style>
  <w:style w:type="character" w:customStyle="1" w:styleId="A5">
    <w:name w:val="A5"/>
    <w:uiPriority w:val="99"/>
    <w:rsid w:val="006A24D1"/>
    <w:rPr>
      <w:rFonts w:cs="Century Gothic"/>
      <w:color w:val="000000"/>
      <w:sz w:val="20"/>
      <w:szCs w:val="20"/>
      <w:u w:val="single"/>
    </w:rPr>
  </w:style>
  <w:style w:type="paragraph" w:customStyle="1" w:styleId="Pa715">
    <w:name w:val="Pa7++15"/>
    <w:basedOn w:val="Normal"/>
    <w:next w:val="Normal"/>
    <w:uiPriority w:val="99"/>
    <w:rsid w:val="006A24D1"/>
    <w:pPr>
      <w:autoSpaceDE w:val="0"/>
      <w:autoSpaceDN w:val="0"/>
      <w:adjustRightInd w:val="0"/>
      <w:spacing w:after="0" w:line="221" w:lineRule="atLeast"/>
    </w:pPr>
    <w:rPr>
      <w:rFonts w:ascii="Century Gothic" w:hAnsi="Century Gothic"/>
      <w:sz w:val="24"/>
      <w:szCs w:val="24"/>
    </w:rPr>
  </w:style>
  <w:style w:type="character" w:customStyle="1" w:styleId="A33">
    <w:name w:val="A3++3"/>
    <w:uiPriority w:val="99"/>
    <w:rsid w:val="006A24D1"/>
    <w:rPr>
      <w:rFonts w:cs="Century Gothic"/>
      <w:b/>
      <w:bCs/>
      <w:color w:val="000000"/>
      <w:sz w:val="20"/>
      <w:szCs w:val="20"/>
    </w:rPr>
  </w:style>
  <w:style w:type="paragraph" w:customStyle="1" w:styleId="Pa2112">
    <w:name w:val="Pa21++12"/>
    <w:basedOn w:val="Normal"/>
    <w:next w:val="Normal"/>
    <w:uiPriority w:val="99"/>
    <w:rsid w:val="006A24D1"/>
    <w:pPr>
      <w:autoSpaceDE w:val="0"/>
      <w:autoSpaceDN w:val="0"/>
      <w:adjustRightInd w:val="0"/>
      <w:spacing w:after="0" w:line="221" w:lineRule="atLeast"/>
    </w:pPr>
    <w:rPr>
      <w:rFonts w:ascii="Century Gothic" w:hAnsi="Century Gothic"/>
      <w:sz w:val="24"/>
      <w:szCs w:val="24"/>
    </w:rPr>
  </w:style>
  <w:style w:type="paragraph" w:customStyle="1" w:styleId="Pa2012">
    <w:name w:val="Pa20++12"/>
    <w:basedOn w:val="Normal"/>
    <w:next w:val="Normal"/>
    <w:uiPriority w:val="99"/>
    <w:rsid w:val="006A24D1"/>
    <w:pPr>
      <w:autoSpaceDE w:val="0"/>
      <w:autoSpaceDN w:val="0"/>
      <w:adjustRightInd w:val="0"/>
      <w:spacing w:after="0" w:line="221" w:lineRule="atLeast"/>
    </w:pPr>
    <w:rPr>
      <w:rFonts w:ascii="Century Gothic" w:hAnsi="Century Gothic"/>
      <w:sz w:val="24"/>
      <w:szCs w:val="24"/>
    </w:rPr>
  </w:style>
  <w:style w:type="paragraph" w:customStyle="1" w:styleId="Default">
    <w:name w:val="Default"/>
    <w:rsid w:val="00B53903"/>
    <w:pPr>
      <w:autoSpaceDE w:val="0"/>
      <w:autoSpaceDN w:val="0"/>
      <w:adjustRightInd w:val="0"/>
      <w:spacing w:after="0" w:line="240" w:lineRule="auto"/>
    </w:pPr>
    <w:rPr>
      <w:rFonts w:ascii="Century Gothic" w:hAnsi="Century Gothic" w:cs="Century Gothic"/>
      <w:color w:val="000000"/>
      <w:sz w:val="24"/>
      <w:szCs w:val="24"/>
    </w:rPr>
  </w:style>
  <w:style w:type="paragraph" w:customStyle="1" w:styleId="Pa46">
    <w:name w:val="Pa4+6"/>
    <w:basedOn w:val="Default"/>
    <w:next w:val="Default"/>
    <w:uiPriority w:val="99"/>
    <w:rsid w:val="00B53903"/>
    <w:pPr>
      <w:spacing w:line="201" w:lineRule="atLeast"/>
    </w:pPr>
    <w:rPr>
      <w:rFonts w:cstheme="minorBidi"/>
      <w:color w:val="auto"/>
    </w:rPr>
  </w:style>
  <w:style w:type="paragraph" w:customStyle="1" w:styleId="Pa108">
    <w:name w:val="Pa10++8"/>
    <w:basedOn w:val="Default"/>
    <w:next w:val="Default"/>
    <w:uiPriority w:val="99"/>
    <w:rsid w:val="00B53903"/>
    <w:pPr>
      <w:spacing w:line="201" w:lineRule="atLeast"/>
    </w:pPr>
    <w:rPr>
      <w:rFonts w:cstheme="minorBidi"/>
      <w:color w:val="auto"/>
    </w:rPr>
  </w:style>
  <w:style w:type="paragraph" w:customStyle="1" w:styleId="Pa427">
    <w:name w:val="Pa42+7"/>
    <w:basedOn w:val="Default"/>
    <w:next w:val="Default"/>
    <w:uiPriority w:val="99"/>
    <w:rsid w:val="00B53903"/>
    <w:pPr>
      <w:spacing w:line="201" w:lineRule="atLeast"/>
    </w:pPr>
    <w:rPr>
      <w:rFonts w:cstheme="minorBidi"/>
      <w:color w:val="auto"/>
    </w:rPr>
  </w:style>
  <w:style w:type="paragraph" w:customStyle="1" w:styleId="Pa1032">
    <w:name w:val="Pa103+2"/>
    <w:basedOn w:val="Default"/>
    <w:next w:val="Default"/>
    <w:uiPriority w:val="99"/>
    <w:rsid w:val="00B53903"/>
    <w:pPr>
      <w:spacing w:line="201" w:lineRule="atLeast"/>
    </w:pPr>
    <w:rPr>
      <w:rFonts w:cstheme="minorBidi"/>
      <w:color w:val="auto"/>
    </w:rPr>
  </w:style>
  <w:style w:type="paragraph" w:customStyle="1" w:styleId="Pa872">
    <w:name w:val="Pa87+2"/>
    <w:basedOn w:val="Default"/>
    <w:next w:val="Default"/>
    <w:uiPriority w:val="99"/>
    <w:rsid w:val="00B53903"/>
    <w:pPr>
      <w:spacing w:line="201" w:lineRule="atLeast"/>
    </w:pPr>
    <w:rPr>
      <w:rFonts w:cstheme="minorBidi"/>
      <w:color w:val="auto"/>
    </w:rPr>
  </w:style>
  <w:style w:type="paragraph" w:customStyle="1" w:styleId="Pa466">
    <w:name w:val="Pa46+6"/>
    <w:basedOn w:val="Default"/>
    <w:next w:val="Default"/>
    <w:uiPriority w:val="99"/>
    <w:rsid w:val="00B53903"/>
    <w:pPr>
      <w:spacing w:line="201" w:lineRule="atLeast"/>
    </w:pPr>
    <w:rPr>
      <w:rFonts w:cstheme="minorBidi"/>
      <w:color w:val="auto"/>
    </w:rPr>
  </w:style>
  <w:style w:type="paragraph" w:customStyle="1" w:styleId="Pa922">
    <w:name w:val="Pa92+2"/>
    <w:basedOn w:val="Default"/>
    <w:next w:val="Default"/>
    <w:uiPriority w:val="99"/>
    <w:rsid w:val="00B53903"/>
    <w:pPr>
      <w:spacing w:line="201" w:lineRule="atLeast"/>
    </w:pPr>
    <w:rPr>
      <w:rFonts w:cstheme="minorBidi"/>
      <w:color w:val="auto"/>
    </w:rPr>
  </w:style>
  <w:style w:type="paragraph" w:customStyle="1" w:styleId="Pa843">
    <w:name w:val="Pa84+3"/>
    <w:basedOn w:val="Default"/>
    <w:next w:val="Default"/>
    <w:uiPriority w:val="99"/>
    <w:rsid w:val="00B53903"/>
    <w:pPr>
      <w:spacing w:line="201" w:lineRule="atLeast"/>
    </w:pPr>
    <w:rPr>
      <w:rFonts w:cstheme="minorBidi"/>
      <w:color w:val="auto"/>
    </w:rPr>
  </w:style>
  <w:style w:type="paragraph" w:customStyle="1" w:styleId="Pa118">
    <w:name w:val="Pa11++8"/>
    <w:basedOn w:val="Default"/>
    <w:next w:val="Default"/>
    <w:uiPriority w:val="99"/>
    <w:rsid w:val="00B53903"/>
    <w:pPr>
      <w:spacing w:line="201" w:lineRule="atLeast"/>
    </w:pPr>
    <w:rPr>
      <w:rFonts w:cstheme="minorBidi"/>
      <w:color w:val="auto"/>
    </w:rPr>
  </w:style>
  <w:style w:type="paragraph" w:customStyle="1" w:styleId="Pa785">
    <w:name w:val="Pa78+5"/>
    <w:basedOn w:val="Default"/>
    <w:next w:val="Default"/>
    <w:uiPriority w:val="99"/>
    <w:rsid w:val="00B53903"/>
    <w:pPr>
      <w:spacing w:line="201" w:lineRule="atLeast"/>
    </w:pPr>
    <w:rPr>
      <w:rFonts w:cstheme="minorBidi"/>
      <w:color w:val="auto"/>
    </w:rPr>
  </w:style>
  <w:style w:type="paragraph" w:customStyle="1" w:styleId="Pa96">
    <w:name w:val="Pa9+6"/>
    <w:basedOn w:val="Default"/>
    <w:next w:val="Default"/>
    <w:uiPriority w:val="99"/>
    <w:rsid w:val="00B53903"/>
    <w:pPr>
      <w:spacing w:line="201" w:lineRule="atLeast"/>
    </w:pPr>
    <w:rPr>
      <w:rFonts w:cstheme="minorBidi"/>
      <w:color w:val="auto"/>
    </w:rPr>
  </w:style>
  <w:style w:type="paragraph" w:customStyle="1" w:styleId="Pa754">
    <w:name w:val="Pa75+4"/>
    <w:basedOn w:val="Default"/>
    <w:next w:val="Default"/>
    <w:uiPriority w:val="99"/>
    <w:rsid w:val="00B53903"/>
    <w:pPr>
      <w:spacing w:line="201" w:lineRule="atLeast"/>
    </w:pPr>
    <w:rPr>
      <w:rFonts w:cstheme="minorBidi"/>
      <w:color w:val="auto"/>
    </w:rPr>
  </w:style>
  <w:style w:type="paragraph" w:customStyle="1" w:styleId="Pa229">
    <w:name w:val="Pa22++9"/>
    <w:basedOn w:val="Default"/>
    <w:next w:val="Default"/>
    <w:uiPriority w:val="99"/>
    <w:rsid w:val="00B53903"/>
    <w:pPr>
      <w:spacing w:line="201" w:lineRule="atLeast"/>
    </w:pPr>
    <w:rPr>
      <w:rFonts w:cstheme="minorBidi"/>
      <w:color w:val="auto"/>
    </w:rPr>
  </w:style>
  <w:style w:type="paragraph" w:customStyle="1" w:styleId="Pa2110">
    <w:name w:val="Pa21++10"/>
    <w:basedOn w:val="Default"/>
    <w:next w:val="Default"/>
    <w:uiPriority w:val="99"/>
    <w:rsid w:val="00B53903"/>
    <w:pPr>
      <w:spacing w:line="201" w:lineRule="atLeast"/>
    </w:pPr>
    <w:rPr>
      <w:rFonts w:cstheme="minorBidi"/>
      <w:color w:val="auto"/>
    </w:rPr>
  </w:style>
  <w:style w:type="paragraph" w:customStyle="1" w:styleId="Pa125">
    <w:name w:val="Pa12++5"/>
    <w:basedOn w:val="Default"/>
    <w:next w:val="Default"/>
    <w:uiPriority w:val="99"/>
    <w:rsid w:val="00B53903"/>
    <w:pPr>
      <w:spacing w:line="201" w:lineRule="atLeast"/>
    </w:pPr>
    <w:rPr>
      <w:rFonts w:cstheme="minorBidi"/>
      <w:color w:val="auto"/>
    </w:rPr>
  </w:style>
  <w:style w:type="paragraph" w:customStyle="1" w:styleId="Pa863">
    <w:name w:val="Pa86+3"/>
    <w:basedOn w:val="Default"/>
    <w:next w:val="Default"/>
    <w:uiPriority w:val="99"/>
    <w:rsid w:val="00B53903"/>
    <w:pPr>
      <w:spacing w:line="201" w:lineRule="atLeast"/>
    </w:pPr>
    <w:rPr>
      <w:rFonts w:cstheme="minorBidi"/>
      <w:color w:val="auto"/>
    </w:rPr>
  </w:style>
  <w:style w:type="paragraph" w:styleId="ListParagraph">
    <w:name w:val="List Paragraph"/>
    <w:basedOn w:val="Normal"/>
    <w:uiPriority w:val="34"/>
    <w:qFormat/>
    <w:rsid w:val="009825F0"/>
    <w:pPr>
      <w:ind w:left="720"/>
      <w:contextualSpacing/>
    </w:pPr>
  </w:style>
  <w:style w:type="table" w:styleId="TableGrid">
    <w:name w:val="Table Grid"/>
    <w:basedOn w:val="TableNormal"/>
    <w:uiPriority w:val="59"/>
    <w:rsid w:val="009825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34141"/>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Header">
    <w:name w:val="header"/>
    <w:basedOn w:val="Normal"/>
    <w:link w:val="HeaderChar"/>
    <w:uiPriority w:val="99"/>
    <w:unhideWhenUsed/>
    <w:rsid w:val="000F27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2783"/>
  </w:style>
  <w:style w:type="paragraph" w:styleId="Footer">
    <w:name w:val="footer"/>
    <w:basedOn w:val="Normal"/>
    <w:link w:val="FooterChar"/>
    <w:uiPriority w:val="99"/>
    <w:unhideWhenUsed/>
    <w:rsid w:val="000F27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2783"/>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8</Pages>
  <Words>1815</Words>
  <Characters>10348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Manish</dc:creator>
  <cp:lastModifiedBy>system5</cp:lastModifiedBy>
  <cp:revision>27</cp:revision>
  <dcterms:created xsi:type="dcterms:W3CDTF">2014-07-23T00:48:00Z</dcterms:created>
  <dcterms:modified xsi:type="dcterms:W3CDTF">2014-07-24T13:09:00Z</dcterms:modified>
</cp:coreProperties>
</file>